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80" w:lineRule="exact"/>
        <w:jc w:val="center"/>
        <w:rPr>
          <w:rFonts w:hint="eastAsia" w:ascii="Times New Roman" w:hAnsi="Times New Roman" w:eastAsia="方正仿宋简体" w:cs="仿宋_GB2312"/>
          <w:sz w:val="32"/>
          <w:szCs w:val="32"/>
        </w:rPr>
      </w:pPr>
    </w:p>
    <w:p>
      <w:pPr>
        <w:adjustRightInd w:val="0"/>
        <w:snapToGrid w:val="0"/>
        <w:spacing w:line="580" w:lineRule="exact"/>
        <w:jc w:val="center"/>
        <w:rPr>
          <w:rFonts w:hint="eastAsia" w:ascii="Times New Roman" w:hAnsi="Times New Roman" w:eastAsia="方正仿宋简体" w:cs="仿宋_GB2312"/>
          <w:sz w:val="32"/>
          <w:szCs w:val="32"/>
        </w:rPr>
      </w:pPr>
    </w:p>
    <w:p>
      <w:pPr>
        <w:adjustRightInd w:val="0"/>
        <w:snapToGrid w:val="0"/>
        <w:spacing w:line="580" w:lineRule="exact"/>
        <w:jc w:val="center"/>
        <w:rPr>
          <w:rFonts w:hint="eastAsia" w:ascii="Times New Roman" w:hAnsi="Times New Roman" w:eastAsia="方正仿宋简体" w:cs="仿宋_GB2312"/>
          <w:sz w:val="32"/>
          <w:szCs w:val="32"/>
        </w:rPr>
      </w:pPr>
    </w:p>
    <w:p>
      <w:pPr>
        <w:adjustRightInd w:val="0"/>
        <w:snapToGrid w:val="0"/>
        <w:spacing w:line="580" w:lineRule="exact"/>
        <w:jc w:val="center"/>
        <w:rPr>
          <w:rFonts w:hint="eastAsia" w:ascii="Times New Roman" w:hAnsi="Times New Roman" w:eastAsia="方正仿宋简体" w:cs="仿宋_GB2312"/>
          <w:sz w:val="32"/>
          <w:szCs w:val="32"/>
        </w:rPr>
      </w:pPr>
    </w:p>
    <w:p>
      <w:pPr>
        <w:adjustRightInd w:val="0"/>
        <w:snapToGrid w:val="0"/>
        <w:spacing w:line="580" w:lineRule="exact"/>
        <w:jc w:val="center"/>
        <w:rPr>
          <w:rFonts w:hint="eastAsia" w:ascii="Times New Roman" w:hAnsi="Times New Roman" w:eastAsia="方正仿宋简体" w:cs="仿宋_GB2312"/>
          <w:sz w:val="32"/>
          <w:szCs w:val="32"/>
        </w:rPr>
      </w:pPr>
    </w:p>
    <w:p>
      <w:pPr>
        <w:adjustRightInd w:val="0"/>
        <w:snapToGrid w:val="0"/>
        <w:spacing w:line="580" w:lineRule="exact"/>
        <w:jc w:val="center"/>
        <w:rPr>
          <w:rFonts w:hint="eastAsia" w:ascii="Times New Roman" w:hAnsi="Times New Roman" w:eastAsia="方正仿宋简体" w:cs="仿宋_GB2312"/>
          <w:sz w:val="32"/>
          <w:szCs w:val="32"/>
        </w:rPr>
      </w:pPr>
    </w:p>
    <w:p>
      <w:pPr>
        <w:adjustRightInd w:val="0"/>
        <w:snapToGrid w:val="0"/>
        <w:jc w:val="center"/>
        <w:rPr>
          <w:rFonts w:hint="eastAsia" w:ascii="Times New Roman" w:hAnsi="Times New Roman" w:eastAsia="方正仿宋简体" w:cs="仿宋_GB2312"/>
          <w:sz w:val="13"/>
          <w:szCs w:val="13"/>
        </w:rPr>
      </w:pPr>
    </w:p>
    <w:p>
      <w:pPr>
        <w:spacing w:line="560" w:lineRule="exact"/>
        <w:jc w:val="center"/>
        <w:rPr>
          <w:rFonts w:hint="eastAsia" w:ascii="Times New Roman" w:hAnsi="Times New Roman" w:eastAsia="仿宋_GB2312" w:cs="Times New Roman"/>
          <w:sz w:val="32"/>
          <w:szCs w:val="32"/>
        </w:rPr>
      </w:pPr>
      <w:bookmarkStart w:id="0" w:name="_GoBack"/>
      <w:r>
        <w:rPr>
          <w:rFonts w:hint="eastAsia" w:ascii="Times New Roman" w:hAnsi="Times New Roman" w:eastAsia="仿宋_GB2312" w:cs="Times New Roman"/>
          <w:sz w:val="32"/>
          <w:szCs w:val="32"/>
        </w:rPr>
        <w:t>石大团发〔201</w:t>
      </w:r>
      <w:r>
        <w:rPr>
          <w:rFonts w:ascii="Times New Roman" w:hAnsi="Times New Roman" w:eastAsia="仿宋_GB2312" w:cs="Times New Roman"/>
          <w:sz w:val="32"/>
          <w:szCs w:val="32"/>
        </w:rPr>
        <w:t>9</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7</w:t>
      </w:r>
      <w:r>
        <w:rPr>
          <w:rFonts w:hint="eastAsia" w:ascii="Times New Roman" w:hAnsi="Times New Roman" w:eastAsia="仿宋_GB2312" w:cs="Times New Roman"/>
          <w:sz w:val="32"/>
          <w:szCs w:val="32"/>
        </w:rPr>
        <w:t>号</w:t>
      </w:r>
    </w:p>
    <w:p>
      <w:pPr>
        <w:spacing w:line="560" w:lineRule="exact"/>
        <w:jc w:val="center"/>
        <w:rPr>
          <w:rFonts w:hint="eastAsia" w:ascii="Times New Roman" w:hAnsi="Times New Roman" w:eastAsia="仿宋_GB2312" w:cs="Times New Roman"/>
          <w:sz w:val="32"/>
          <w:szCs w:val="32"/>
        </w:rPr>
      </w:pPr>
    </w:p>
    <w:p>
      <w:pPr>
        <w:spacing w:line="560" w:lineRule="exact"/>
        <w:jc w:val="center"/>
        <w:rPr>
          <w:rFonts w:hint="eastAsia" w:ascii="Times New Roman" w:hAnsi="Times New Roman" w:eastAsia="仿宋_GB2312" w:cs="Times New Roman"/>
          <w:sz w:val="32"/>
          <w:szCs w:val="32"/>
        </w:rPr>
      </w:pPr>
    </w:p>
    <w:p>
      <w:pPr>
        <w:spacing w:line="560" w:lineRule="exact"/>
        <w:jc w:val="center"/>
        <w:rPr>
          <w:rFonts w:hint="eastAsia" w:ascii="Times New Roman" w:hAnsi="Times New Roman" w:eastAsia="仿宋_GB2312" w:cs="Times New Roman"/>
          <w:sz w:val="32"/>
          <w:szCs w:val="32"/>
        </w:rPr>
      </w:pPr>
    </w:p>
    <w:p>
      <w:pPr>
        <w:adjustRightInd w:val="0"/>
        <w:snapToGrid w:val="0"/>
        <w:spacing w:line="560" w:lineRule="exact"/>
        <w:jc w:val="center"/>
        <w:rPr>
          <w:rFonts w:ascii="Times New Roman" w:hAnsi="Times New Roman" w:eastAsia="方正大标宋简体"/>
          <w:sz w:val="44"/>
          <w:szCs w:val="44"/>
        </w:rPr>
      </w:pPr>
      <w:r>
        <w:rPr>
          <w:rFonts w:hint="eastAsia" w:ascii="Times New Roman" w:hAnsi="Times New Roman" w:eastAsia="方正大标宋简体"/>
          <w:sz w:val="44"/>
          <w:szCs w:val="44"/>
        </w:rPr>
        <w:t>石河子大学2019年共青团工作要点</w:t>
      </w:r>
      <w:bookmarkEnd w:id="0"/>
    </w:p>
    <w:p>
      <w:pPr>
        <w:widowControl/>
        <w:shd w:val="clear" w:color="auto" w:fill="FFFFFF"/>
        <w:spacing w:line="560" w:lineRule="exact"/>
        <w:ind w:right="-58"/>
        <w:jc w:val="center"/>
        <w:rPr>
          <w:rFonts w:ascii="Times New Roman" w:hAnsi="Times New Roman" w:eastAsia="方正仿宋简体" w:cs="方正小标宋简体"/>
          <w:sz w:val="32"/>
          <w:szCs w:val="32"/>
        </w:rPr>
      </w:pPr>
    </w:p>
    <w:p>
      <w:pPr>
        <w:widowControl/>
        <w:shd w:val="clear" w:color="auto" w:fill="FFFFFF"/>
        <w:spacing w:line="560" w:lineRule="exact"/>
        <w:ind w:right="-58" w:firstLine="578"/>
        <w:jc w:val="left"/>
        <w:rPr>
          <w:rFonts w:ascii="Times New Roman" w:hAnsi="Times New Roman" w:eastAsia="方正仿宋简体" w:cs="方正小标宋简体"/>
          <w:sz w:val="32"/>
          <w:szCs w:val="32"/>
        </w:rPr>
      </w:pPr>
      <w:r>
        <w:rPr>
          <w:rFonts w:hint="eastAsia" w:ascii="Times New Roman" w:hAnsi="Times New Roman" w:eastAsia="方正仿宋简体" w:cs="方正小标宋简体"/>
          <w:sz w:val="32"/>
          <w:szCs w:val="32"/>
        </w:rPr>
        <w:t>2019年学校共青团工作的总体思路是：以习近平新时代中国特色社会主义思想和党的十九大精神为指导，深入学习贯彻落实习近平总书记“7·2”重要讲话精神，围绕培养什么人、怎样培养人、为谁培养人这一根本问题，紧盯团的根本任务、政治责任、工作主线这一职责定位，聚焦新疆工作总目标和履行兵团职责使命，全面落实“全团大抓基层”“全团抓学校”工作要求，聚焦主责主业，狠抓基层建设，深化改革攻坚，推进从严治团，以弘扬兵团精神为重点，以提升基层活力为目标，扎实做好学校共青团各项工作。</w:t>
      </w:r>
    </w:p>
    <w:p>
      <w:pPr>
        <w:widowControl/>
        <w:shd w:val="clear" w:color="auto" w:fill="FFFFFF"/>
        <w:spacing w:line="560" w:lineRule="exact"/>
        <w:ind w:right="-58" w:firstLine="578"/>
        <w:jc w:val="left"/>
        <w:rPr>
          <w:rFonts w:ascii="Times New Roman" w:hAnsi="Times New Roman" w:eastAsia="方正黑体简体" w:cs="宋体"/>
          <w:bCs/>
          <w:kern w:val="0"/>
          <w:sz w:val="32"/>
          <w:szCs w:val="32"/>
        </w:rPr>
      </w:pPr>
      <w:r>
        <w:rPr>
          <w:rFonts w:hint="eastAsia" w:ascii="Times New Roman" w:hAnsi="Times New Roman" w:eastAsia="方正黑体简体" w:cs="宋体"/>
          <w:bCs/>
          <w:kern w:val="0"/>
          <w:sz w:val="32"/>
          <w:szCs w:val="32"/>
        </w:rPr>
        <w:t>一、坚持党建带团建，加强学校团组织党的建设</w:t>
      </w:r>
    </w:p>
    <w:p>
      <w:pPr>
        <w:widowControl/>
        <w:shd w:val="clear" w:color="auto" w:fill="FFFFFF"/>
        <w:spacing w:line="560" w:lineRule="exact"/>
        <w:ind w:right="-58" w:firstLine="578"/>
        <w:jc w:val="left"/>
        <w:rPr>
          <w:rFonts w:ascii="Times New Roman" w:hAnsi="Times New Roman" w:eastAsia="方正仿宋简体" w:cs="方正小标宋简体"/>
          <w:sz w:val="32"/>
          <w:szCs w:val="32"/>
        </w:rPr>
      </w:pPr>
      <w:r>
        <w:rPr>
          <w:rFonts w:hint="eastAsia" w:ascii="Times New Roman" w:hAnsi="Times New Roman" w:eastAsia="方正仿宋简体" w:cs="方正小标宋简体"/>
          <w:b/>
          <w:bCs/>
          <w:sz w:val="32"/>
          <w:szCs w:val="32"/>
        </w:rPr>
        <w:t>1.</w:t>
      </w:r>
      <w:r>
        <w:rPr>
          <w:rFonts w:hint="eastAsia" w:ascii="Times New Roman" w:hAnsi="Times New Roman" w:eastAsia="方正楷体简体" w:cs="方正小标宋简体"/>
          <w:b/>
          <w:sz w:val="32"/>
          <w:szCs w:val="32"/>
        </w:rPr>
        <w:t>加强学校各级团组织党的建设。</w:t>
      </w:r>
      <w:r>
        <w:rPr>
          <w:rFonts w:hint="eastAsia" w:ascii="Times New Roman" w:hAnsi="Times New Roman" w:eastAsia="方正仿宋简体" w:cs="方正小标宋简体"/>
          <w:sz w:val="32"/>
          <w:szCs w:val="32"/>
        </w:rPr>
        <w:t>旗帜鲜明讲政治，坚持党旗所指就是团旗所向，把政治建设摆在首位，引导各级团干部切实增强“四个意识”、坚定“四个自信”、做到“两个维护”。坚持党建带团建，推动完善学校党建带团建体制机制，探索校级团学组织党建新模式，研究探索加强院级团组织党的建设有关工作，推动</w:t>
      </w:r>
      <w:r>
        <w:rPr>
          <w:rFonts w:hint="eastAsia" w:ascii="Times New Roman" w:hAnsi="Times New Roman" w:eastAsia="方正仿宋简体" w:cs="方正小标宋简体"/>
          <w:sz w:val="32"/>
          <w:szCs w:val="32"/>
          <w:lang w:eastAsia="zh-CN"/>
        </w:rPr>
        <w:t>有</w:t>
      </w:r>
      <w:r>
        <w:rPr>
          <w:rFonts w:hint="eastAsia" w:ascii="Times New Roman" w:hAnsi="Times New Roman" w:eastAsia="方正仿宋简体" w:cs="方正小标宋简体"/>
          <w:sz w:val="32"/>
          <w:szCs w:val="32"/>
        </w:rPr>
        <w:t>学生党员</w:t>
      </w:r>
      <w:r>
        <w:rPr>
          <w:rFonts w:hint="eastAsia" w:ascii="Times New Roman" w:hAnsi="Times New Roman" w:eastAsia="方正仿宋简体" w:cs="方正小标宋简体"/>
          <w:sz w:val="32"/>
          <w:szCs w:val="32"/>
          <w:lang w:eastAsia="zh-CN"/>
        </w:rPr>
        <w:t>的支部由学生党员</w:t>
      </w:r>
      <w:r>
        <w:rPr>
          <w:rFonts w:hint="eastAsia" w:ascii="Times New Roman" w:hAnsi="Times New Roman" w:eastAsia="方正仿宋简体" w:cs="方正小标宋简体"/>
          <w:sz w:val="32"/>
          <w:szCs w:val="32"/>
        </w:rPr>
        <w:t>担任团支部书记全覆盖。加大团干部培训力度，提升团干部政治理论素养。</w:t>
      </w:r>
    </w:p>
    <w:p>
      <w:pPr>
        <w:widowControl/>
        <w:shd w:val="clear" w:color="auto" w:fill="FFFFFF"/>
        <w:spacing w:line="560" w:lineRule="exact"/>
        <w:ind w:right="-58" w:firstLine="578"/>
        <w:jc w:val="left"/>
        <w:rPr>
          <w:rFonts w:ascii="Times New Roman" w:hAnsi="Times New Roman" w:eastAsia="方正仿宋简体" w:cs="方正小标宋简体"/>
          <w:sz w:val="32"/>
          <w:szCs w:val="32"/>
        </w:rPr>
      </w:pPr>
      <w:r>
        <w:rPr>
          <w:rFonts w:hint="eastAsia" w:ascii="Times New Roman" w:hAnsi="Times New Roman" w:eastAsia="方正仿宋简体" w:cs="方正小标宋简体"/>
          <w:b/>
          <w:bCs/>
          <w:sz w:val="32"/>
          <w:szCs w:val="32"/>
        </w:rPr>
        <w:t>2.</w:t>
      </w:r>
      <w:r>
        <w:rPr>
          <w:rFonts w:hint="eastAsia" w:ascii="Times New Roman" w:hAnsi="Times New Roman" w:eastAsia="方正楷体简体" w:cs="方正小标宋简体"/>
          <w:b/>
          <w:sz w:val="32"/>
          <w:szCs w:val="32"/>
        </w:rPr>
        <w:t>加强校团委党支部建设。</w:t>
      </w:r>
      <w:r>
        <w:rPr>
          <w:rFonts w:hint="eastAsia" w:ascii="Times New Roman" w:hAnsi="Times New Roman" w:eastAsia="方正仿宋简体" w:cs="方正小标宋简体"/>
          <w:sz w:val="32"/>
          <w:szCs w:val="32"/>
        </w:rPr>
        <w:t>进一步完善校团委党支部制度建设，建立健全党支部各项制度，提升党建工作的制度化、规范化水平。落实好党支部定期学习制度，持续开展好“不忘初心、牢记使命”主题教育，推动“两学一做”学习教育常态化制度化，提升党员政治理论素养。</w:t>
      </w:r>
    </w:p>
    <w:p>
      <w:pPr>
        <w:widowControl/>
        <w:shd w:val="clear" w:color="auto" w:fill="FFFFFF"/>
        <w:spacing w:line="560" w:lineRule="exact"/>
        <w:ind w:right="-58" w:firstLine="578"/>
        <w:jc w:val="left"/>
        <w:rPr>
          <w:rFonts w:ascii="Times New Roman" w:hAnsi="Times New Roman" w:eastAsia="方正黑体简体" w:cs="宋体"/>
          <w:bCs/>
          <w:kern w:val="0"/>
          <w:sz w:val="32"/>
          <w:szCs w:val="32"/>
        </w:rPr>
      </w:pPr>
      <w:r>
        <w:rPr>
          <w:rFonts w:hint="eastAsia" w:ascii="Times New Roman" w:hAnsi="Times New Roman" w:eastAsia="方正黑体简体" w:cs="宋体"/>
          <w:bCs/>
          <w:kern w:val="0"/>
          <w:sz w:val="32"/>
          <w:szCs w:val="32"/>
        </w:rPr>
        <w:t>二、聚焦主责主业，强化思想政治引领</w:t>
      </w:r>
    </w:p>
    <w:p>
      <w:pPr>
        <w:widowControl/>
        <w:shd w:val="clear" w:color="auto" w:fill="FFFFFF"/>
        <w:spacing w:line="560" w:lineRule="exact"/>
        <w:ind w:right="-58" w:firstLine="578"/>
        <w:jc w:val="left"/>
        <w:rPr>
          <w:rFonts w:ascii="Times New Roman" w:hAnsi="Times New Roman" w:eastAsia="方正仿宋简体" w:cs="方正小标宋简体"/>
          <w:sz w:val="32"/>
          <w:szCs w:val="32"/>
        </w:rPr>
      </w:pPr>
      <w:r>
        <w:rPr>
          <w:rFonts w:hint="eastAsia" w:ascii="Times New Roman" w:hAnsi="Times New Roman" w:eastAsia="方正仿宋简体" w:cs="方正小标宋简体"/>
          <w:b/>
          <w:bCs/>
          <w:sz w:val="32"/>
          <w:szCs w:val="32"/>
        </w:rPr>
        <w:t>3.</w:t>
      </w:r>
      <w:r>
        <w:rPr>
          <w:rFonts w:hint="eastAsia" w:ascii="Times New Roman" w:hAnsi="Times New Roman" w:eastAsia="方正楷体简体"/>
          <w:b/>
          <w:sz w:val="32"/>
          <w:szCs w:val="32"/>
        </w:rPr>
        <w:t>创新思想政治引领和价值引领。</w:t>
      </w:r>
      <w:r>
        <w:rPr>
          <w:rFonts w:hint="eastAsia" w:ascii="Times New Roman" w:hAnsi="Times New Roman" w:eastAsia="方正仿宋简体" w:cs="方正小标宋简体"/>
          <w:sz w:val="32"/>
          <w:szCs w:val="32"/>
          <w:lang w:eastAsia="zh-CN"/>
        </w:rPr>
        <w:t>贯彻落实习近平总书记在学校思想政治理论课教师座谈会上的讲话精神，</w:t>
      </w:r>
      <w:r>
        <w:rPr>
          <w:rFonts w:hint="eastAsia" w:ascii="Times New Roman" w:hAnsi="Times New Roman" w:eastAsia="方正仿宋简体" w:cs="方正小标宋简体"/>
          <w:sz w:val="32"/>
          <w:szCs w:val="32"/>
        </w:rPr>
        <w:t>出台《石河子大学关于加强和改进新形势下共青团思想政治工作的实施方案》，加强对共青团和青年工作的研究，完善分层分类思想政治引领工作体系。深化各类主题教育活动，创新活动载体，丰富活动内容，围绕庆祝新中国成立70周年、纪念五四运动100周年，深入开展“青春心向党</w:t>
      </w:r>
      <w:r>
        <w:rPr>
          <w:rFonts w:hint="eastAsia" w:ascii="Times New Roman" w:hAnsi="Times New Roman" w:eastAsia="仿宋_GB2312" w:cs="仿宋_GB2312"/>
          <w:color w:val="000000"/>
          <w:sz w:val="32"/>
          <w:szCs w:val="32"/>
        </w:rPr>
        <w:t>·建功新时代</w:t>
      </w:r>
      <w:r>
        <w:rPr>
          <w:rFonts w:hint="eastAsia" w:ascii="Times New Roman" w:hAnsi="Times New Roman" w:eastAsia="方正仿宋简体" w:cs="方正小标宋简体"/>
          <w:sz w:val="32"/>
          <w:szCs w:val="32"/>
        </w:rPr>
        <w:t>”主题宣传教育实践活动。广泛开展“弘扬爱国奋斗精神、建功立业新时代”“用胡杨精神育人、为兴疆固边服务”“与信仰对话”“争做新时代向上向善好青年”等主题活动，通过“三会两制一课”、主题团日活动、网上主题团课等，加强大学生思想政治引领和价值引领。大力弘扬兵团精神，强化实践体验，以多种形式在全校团支部和青年学生中集中开展兵团精神主题实践活动。制定全年主题教育活动推进时间表，加强对主题教育活动开展情况的检查督导。</w:t>
      </w:r>
    </w:p>
    <w:p>
      <w:pPr>
        <w:widowControl/>
        <w:shd w:val="clear" w:color="auto" w:fill="FFFFFF"/>
        <w:spacing w:line="560" w:lineRule="exact"/>
        <w:ind w:right="-58" w:firstLine="578"/>
        <w:jc w:val="left"/>
        <w:rPr>
          <w:rFonts w:ascii="Times New Roman" w:hAnsi="Times New Roman" w:eastAsia="方正仿宋简体"/>
          <w:sz w:val="32"/>
          <w:szCs w:val="32"/>
        </w:rPr>
      </w:pPr>
      <w:r>
        <w:rPr>
          <w:rFonts w:hint="eastAsia" w:ascii="Times New Roman" w:hAnsi="Times New Roman" w:eastAsia="方正仿宋简体" w:cs="方正小标宋简体"/>
          <w:b/>
          <w:bCs/>
          <w:sz w:val="32"/>
          <w:szCs w:val="32"/>
        </w:rPr>
        <w:t>4.</w:t>
      </w:r>
      <w:r>
        <w:rPr>
          <w:rFonts w:hint="eastAsia" w:ascii="Times New Roman" w:hAnsi="Times New Roman" w:eastAsia="方正楷体简体" w:cs="方正小标宋简体"/>
          <w:b/>
          <w:sz w:val="32"/>
          <w:szCs w:val="32"/>
        </w:rPr>
        <w:t>推进青年大学习行动。</w:t>
      </w:r>
      <w:r>
        <w:rPr>
          <w:rFonts w:hint="eastAsia" w:ascii="Times New Roman" w:hAnsi="Times New Roman" w:eastAsia="方正仿宋简体" w:cs="方正小标宋简体"/>
          <w:sz w:val="32"/>
          <w:szCs w:val="32"/>
        </w:rPr>
        <w:t>持续推进青年大学习行动，推进习近平新时代中国特色社会主义思想进支部、进团课、进社团、进网络，完善“导学、讲学、研学、比学、践学、督学”体系，组建“青年讲师团”，广泛开展专题学习、宣讲报告、实践教育等活动。组织学生团员广泛参与“青年大学习”网上主题团课学习。</w:t>
      </w:r>
    </w:p>
    <w:p>
      <w:pPr>
        <w:widowControl/>
        <w:shd w:val="clear" w:color="auto" w:fill="FFFFFF"/>
        <w:spacing w:line="560" w:lineRule="exact"/>
        <w:ind w:right="-58" w:firstLine="578"/>
        <w:jc w:val="left"/>
        <w:rPr>
          <w:rFonts w:ascii="Times New Roman" w:hAnsi="Times New Roman" w:eastAsia="方正仿宋简体" w:cs="方正小标宋简体"/>
          <w:sz w:val="32"/>
          <w:szCs w:val="32"/>
        </w:rPr>
      </w:pPr>
      <w:r>
        <w:rPr>
          <w:rFonts w:hint="eastAsia" w:ascii="Times New Roman" w:hAnsi="Times New Roman" w:eastAsia="方正仿宋简体" w:cs="宋体"/>
          <w:b/>
          <w:kern w:val="0"/>
          <w:sz w:val="32"/>
          <w:szCs w:val="32"/>
        </w:rPr>
        <w:t>5.</w:t>
      </w:r>
      <w:r>
        <w:rPr>
          <w:rFonts w:hint="eastAsia" w:ascii="Times New Roman" w:hAnsi="Times New Roman" w:eastAsia="方正楷体简体" w:cs="方正小标宋简体"/>
          <w:b/>
          <w:sz w:val="32"/>
          <w:szCs w:val="32"/>
        </w:rPr>
        <w:t>抓实共青团意识形态领域工作。</w:t>
      </w:r>
      <w:r>
        <w:rPr>
          <w:rFonts w:hint="eastAsia" w:ascii="Times New Roman" w:hAnsi="Times New Roman" w:eastAsia="方正仿宋简体" w:cs="方正小标宋简体"/>
          <w:sz w:val="32"/>
          <w:szCs w:val="32"/>
        </w:rPr>
        <w:t>提升团干部对意识形态领域工作重要性的认识，加强教育引导，打好意识形态主动</w:t>
      </w:r>
      <w:r>
        <w:rPr>
          <w:rFonts w:hint="eastAsia" w:ascii="Times New Roman" w:hAnsi="Times New Roman" w:eastAsia="方正仿宋简体"/>
          <w:sz w:val="32"/>
          <w:szCs w:val="32"/>
        </w:rPr>
        <w:t>仗。在学校党委领导下构建学校共青团意识形态安全工作机制，加强形势分析研判，制定应急预案和紧急响应机制。严格落实意识形态工作责任制，建立校院两级共青团主责主抓、层层负责、严防严管的工作体系，统筹抓好全校共青团意识形态领域各项工作。加强信息员队伍和网络宣传员队伍建设，完善信息报送制度，及时掌握、引导、处置涉及学校的团学舆情信息。加强对团属各类网站、新媒体平台、刊物的管理，加大对编审人员的网络安全知识培训力度，把好政治导向和价值导向。加强对学生社团的管理，完善学生社团管理制度、年度注册制度和活动报批制度等。加强春晖堂和大学生活动中心等团属活动阵地管理。</w:t>
      </w:r>
    </w:p>
    <w:p>
      <w:pPr>
        <w:widowControl/>
        <w:shd w:val="clear" w:color="auto" w:fill="FFFFFF"/>
        <w:spacing w:line="560" w:lineRule="exact"/>
        <w:ind w:right="-58" w:firstLine="578"/>
        <w:jc w:val="left"/>
        <w:rPr>
          <w:rFonts w:ascii="Times New Roman" w:hAnsi="Times New Roman" w:eastAsia="方正仿宋简体"/>
          <w:sz w:val="32"/>
          <w:szCs w:val="32"/>
        </w:rPr>
      </w:pPr>
      <w:r>
        <w:rPr>
          <w:rFonts w:hint="eastAsia" w:ascii="Times New Roman" w:hAnsi="Times New Roman" w:eastAsia="方正楷体简体"/>
          <w:b/>
          <w:sz w:val="32"/>
          <w:szCs w:val="32"/>
        </w:rPr>
        <w:t>6.推进民族团结进步教育。</w:t>
      </w:r>
      <w:r>
        <w:rPr>
          <w:rFonts w:hint="eastAsia" w:ascii="Times New Roman" w:hAnsi="Times New Roman" w:eastAsia="方正仿宋简体"/>
          <w:sz w:val="32"/>
          <w:szCs w:val="32"/>
        </w:rPr>
        <w:t>深入开展“民族团结一家亲”暨“三进两联一交友”活动，“我身边的民族团结故事”等活动，组织结对认亲师生举办专场读书报告会，选树典型，扩大宣传，讲好石大民族团结故事。</w:t>
      </w:r>
      <w:r>
        <w:rPr>
          <w:rFonts w:hint="eastAsia" w:ascii="Times New Roman" w:hAnsi="Times New Roman" w:eastAsia="方正仿宋简体"/>
          <w:sz w:val="32"/>
          <w:szCs w:val="32"/>
          <w:lang w:eastAsia="zh-CN"/>
        </w:rPr>
        <w:t>深入学习《新疆的反恐、去极端化斗争与人权保障》白皮书，</w:t>
      </w:r>
      <w:r>
        <w:rPr>
          <w:rFonts w:hint="eastAsia" w:ascii="Times New Roman" w:hAnsi="Times New Roman" w:eastAsia="方正仿宋简体"/>
          <w:sz w:val="32"/>
          <w:szCs w:val="32"/>
        </w:rPr>
        <w:t>持续开展“去极端化”宣讲和“发声亮剑”活动。承办好团中央</w:t>
      </w:r>
      <w:r>
        <w:rPr>
          <w:rFonts w:hint="eastAsia" w:ascii="Times New Roman" w:hAnsi="Times New Roman" w:eastAsia="方正仿宋简体" w:cs="Times New Roman"/>
          <w:sz w:val="32"/>
          <w:szCs w:val="32"/>
        </w:rPr>
        <w:t>“2019年兵地各族大中专学生暑期同心营”活动。</w:t>
      </w:r>
    </w:p>
    <w:p>
      <w:pPr>
        <w:spacing w:line="560" w:lineRule="exact"/>
        <w:ind w:firstLine="643" w:firstLineChars="200"/>
        <w:jc w:val="left"/>
        <w:rPr>
          <w:rFonts w:ascii="Times New Roman" w:hAnsi="Times New Roman" w:eastAsia="方正仿宋简体"/>
          <w:sz w:val="32"/>
          <w:szCs w:val="32"/>
        </w:rPr>
      </w:pPr>
      <w:r>
        <w:rPr>
          <w:rFonts w:hint="eastAsia" w:ascii="Times New Roman" w:hAnsi="Times New Roman" w:eastAsia="方正仿宋简体"/>
          <w:b/>
          <w:sz w:val="32"/>
          <w:szCs w:val="32"/>
        </w:rPr>
        <w:t>7.</w:t>
      </w:r>
      <w:r>
        <w:rPr>
          <w:rFonts w:hint="eastAsia" w:ascii="Times New Roman" w:hAnsi="Times New Roman" w:eastAsia="方正楷体简体"/>
          <w:b/>
          <w:sz w:val="32"/>
          <w:szCs w:val="32"/>
        </w:rPr>
        <w:t>深化具有兵团特色的“青年马克思主义者培养工程”。</w:t>
      </w:r>
      <w:r>
        <w:rPr>
          <w:rFonts w:hint="eastAsia" w:ascii="Times New Roman" w:hAnsi="Times New Roman" w:eastAsia="方正仿宋简体"/>
          <w:sz w:val="32"/>
          <w:szCs w:val="32"/>
        </w:rPr>
        <w:t>持续推进团校课程体系改革，加强具有兵团特色的课程体系建设，深化“理论学习+社会实践+志愿服务+课题研究+挂职锻炼”的“五位一体”培养模式，培养100名理想信念坚定、综合素质全面的青年马克思主义者。</w:t>
      </w:r>
      <w:r>
        <w:rPr>
          <w:rFonts w:hint="eastAsia" w:ascii="Times New Roman" w:hAnsi="Times New Roman" w:eastAsia="方正仿宋简体"/>
          <w:sz w:val="32"/>
          <w:szCs w:val="32"/>
          <w:lang w:eastAsia="zh-CN"/>
        </w:rPr>
        <w:t>以校庆</w:t>
      </w:r>
      <w:r>
        <w:rPr>
          <w:rFonts w:hint="eastAsia" w:ascii="Times New Roman" w:hAnsi="Times New Roman" w:eastAsia="方正仿宋简体"/>
          <w:sz w:val="32"/>
          <w:szCs w:val="32"/>
          <w:lang w:val="en-US" w:eastAsia="zh-CN"/>
        </w:rPr>
        <w:t>70周年优秀校友返校为契机，组织“青马工程”留疆深入基层典型校友返校巡讲</w:t>
      </w:r>
      <w:r>
        <w:rPr>
          <w:rFonts w:hint="eastAsia" w:ascii="Times New Roman" w:hAnsi="Times New Roman" w:eastAsia="方正仿宋简体"/>
          <w:sz w:val="32"/>
          <w:szCs w:val="32"/>
        </w:rPr>
        <w:t>。深刻理解大学人才培养目标定位，推动在南疆基层建立“青年马克思主义践行者实践基地”，增强优秀团学骨干兵团精神认同感和对兵团大地朴素感情，服务兵团向南发展。健全学员选拔和考核机制，推动形成系统性量化考评体系，营造良好的激励竞争环境。启动2019年团支部书记专题培训班，对全校团支部书记轮训一遍。</w:t>
      </w:r>
    </w:p>
    <w:p>
      <w:pPr>
        <w:widowControl/>
        <w:shd w:val="clear" w:color="auto" w:fill="FFFFFF"/>
        <w:spacing w:line="560" w:lineRule="exact"/>
        <w:ind w:right="-58" w:firstLine="578"/>
        <w:jc w:val="left"/>
        <w:rPr>
          <w:rFonts w:ascii="Times New Roman" w:hAnsi="Times New Roman" w:eastAsia="方正黑体简体" w:cs="宋体"/>
          <w:bCs/>
          <w:kern w:val="0"/>
          <w:sz w:val="32"/>
          <w:szCs w:val="32"/>
        </w:rPr>
      </w:pPr>
      <w:r>
        <w:rPr>
          <w:rFonts w:hint="eastAsia" w:ascii="Times New Roman" w:hAnsi="Times New Roman" w:eastAsia="方正黑体简体" w:cs="宋体"/>
          <w:bCs/>
          <w:kern w:val="0"/>
          <w:sz w:val="32"/>
          <w:szCs w:val="32"/>
        </w:rPr>
        <w:t>三、立足为党育人为国育才，服务学生成长发展</w:t>
      </w:r>
    </w:p>
    <w:p>
      <w:pPr>
        <w:widowControl/>
        <w:shd w:val="clear" w:color="auto" w:fill="FFFFFF"/>
        <w:spacing w:line="560" w:lineRule="exact"/>
        <w:ind w:right="-58" w:firstLine="578"/>
        <w:jc w:val="left"/>
        <w:rPr>
          <w:rFonts w:ascii="Times New Roman" w:hAnsi="Times New Roman" w:eastAsia="方正仿宋简体"/>
          <w:sz w:val="32"/>
          <w:szCs w:val="32"/>
        </w:rPr>
      </w:pPr>
      <w:r>
        <w:rPr>
          <w:rFonts w:hint="eastAsia" w:ascii="Times New Roman" w:hAnsi="Times New Roman" w:eastAsia="方正仿宋简体"/>
          <w:b/>
          <w:sz w:val="32"/>
          <w:szCs w:val="32"/>
        </w:rPr>
        <w:t>8.</w:t>
      </w:r>
      <w:r>
        <w:rPr>
          <w:rFonts w:hint="eastAsia" w:ascii="Times New Roman" w:hAnsi="Times New Roman" w:eastAsia="方正楷体简体"/>
          <w:b/>
          <w:sz w:val="32"/>
          <w:szCs w:val="32"/>
        </w:rPr>
        <w:t>实施高校共青团“第二课堂成绩单”制度。</w:t>
      </w:r>
      <w:r>
        <w:rPr>
          <w:rFonts w:hint="eastAsia" w:ascii="Times New Roman" w:hAnsi="Times New Roman" w:eastAsia="方正仿宋简体"/>
          <w:sz w:val="32"/>
          <w:szCs w:val="32"/>
        </w:rPr>
        <w:t>印发《石河子大学共青团“第二课堂成绩单”制度实施方案》，全面启动实施共青团“第二课堂成绩单”制度。开展针对2017级、2018级本科学生的第二课堂学分认定和补录工作，做好2019年第二课堂课程设计和学分认定工作，推动形成上下联通、部门联合，学院联动的第二课堂育人合力。</w:t>
      </w:r>
    </w:p>
    <w:p>
      <w:pPr>
        <w:widowControl/>
        <w:shd w:val="clear" w:color="auto" w:fill="FFFFFF"/>
        <w:spacing w:line="560" w:lineRule="exact"/>
        <w:ind w:firstLine="643" w:firstLineChars="200"/>
        <w:jc w:val="left"/>
        <w:outlineLvl w:val="0"/>
        <w:rPr>
          <w:rFonts w:ascii="Times New Roman" w:hAnsi="Times New Roman" w:eastAsia="方正仿宋简体"/>
          <w:sz w:val="32"/>
          <w:szCs w:val="32"/>
        </w:rPr>
      </w:pPr>
      <w:r>
        <w:rPr>
          <w:rFonts w:hint="eastAsia" w:ascii="Times New Roman" w:hAnsi="Times New Roman" w:eastAsia="方正仿宋简体"/>
          <w:b/>
          <w:sz w:val="32"/>
          <w:szCs w:val="32"/>
        </w:rPr>
        <w:t>9.</w:t>
      </w:r>
      <w:r>
        <w:rPr>
          <w:rFonts w:hint="eastAsia" w:ascii="Times New Roman" w:hAnsi="Times New Roman" w:eastAsia="方正楷体简体"/>
          <w:b/>
          <w:sz w:val="32"/>
          <w:szCs w:val="32"/>
        </w:rPr>
        <w:t>深化大学生创新创业。</w:t>
      </w:r>
      <w:r>
        <w:rPr>
          <w:rFonts w:hint="eastAsia" w:ascii="Times New Roman" w:hAnsi="Times New Roman" w:eastAsia="方正仿宋简体"/>
          <w:sz w:val="32"/>
          <w:szCs w:val="32"/>
        </w:rPr>
        <w:t>巩固和扩大以“挑战杯”“创青春”为龙头的创新创业竞赛和学科竞赛影响力，进一步推进各类创新创业竞赛和学科竞赛建设，按照统筹项目、统一标准、分层分类的原则，完善创新创业师生激励机制，充分调动广大师生的参与积极性、主动性和创造性。持续加强学风建设，深化校、院、团支部三级读书报告会体系建设，开展第二届书记校长读书奖评选活动。办好第九届专业学科竞赛、第十六届“挑战杯”大学生课外学术科技作品竞赛，启动2020年“创青春”大学生创业大赛。承办好全国青少年高校科学营活动。</w:t>
      </w:r>
    </w:p>
    <w:p>
      <w:pPr>
        <w:widowControl/>
        <w:shd w:val="clear" w:color="auto" w:fill="FFFFFF"/>
        <w:spacing w:line="560" w:lineRule="exact"/>
        <w:ind w:firstLine="643" w:firstLineChars="200"/>
        <w:jc w:val="left"/>
        <w:outlineLvl w:val="0"/>
        <w:rPr>
          <w:rFonts w:ascii="Times New Roman" w:hAnsi="Times New Roman" w:eastAsia="方正黑体简体" w:cs="宋体"/>
          <w:bCs/>
          <w:kern w:val="0"/>
          <w:sz w:val="32"/>
          <w:szCs w:val="32"/>
        </w:rPr>
      </w:pPr>
      <w:r>
        <w:rPr>
          <w:rFonts w:hint="eastAsia" w:ascii="Times New Roman" w:hAnsi="Times New Roman" w:eastAsia="方正仿宋简体"/>
          <w:b/>
          <w:sz w:val="32"/>
          <w:szCs w:val="32"/>
        </w:rPr>
        <w:t>10.</w:t>
      </w:r>
      <w:r>
        <w:rPr>
          <w:rFonts w:hint="eastAsia" w:ascii="Times New Roman" w:hAnsi="Times New Roman" w:eastAsia="方正楷体简体"/>
          <w:b/>
          <w:sz w:val="32"/>
          <w:szCs w:val="32"/>
        </w:rPr>
        <w:t>提升实践育人质量。</w:t>
      </w:r>
      <w:r>
        <w:rPr>
          <w:rFonts w:hint="eastAsia" w:ascii="Times New Roman" w:hAnsi="Times New Roman" w:eastAsia="方正仿宋简体" w:cs="仿宋_GB2312"/>
          <w:sz w:val="32"/>
          <w:szCs w:val="32"/>
        </w:rPr>
        <w:t>按照“全年布局、全员参与、全程指导”的工作目标和“分段实施、分类立项、分层保障”的工作原则，改革完善涵盖暑假、寒假、日常、专项“四位一体”的社会实践和志愿服务机体系，健全完善</w:t>
      </w:r>
      <w:r>
        <w:rPr>
          <w:rFonts w:hint="eastAsia" w:ascii="Times New Roman" w:hAnsi="Times New Roman" w:eastAsia="方正仿宋简体"/>
          <w:sz w:val="32"/>
          <w:szCs w:val="32"/>
        </w:rPr>
        <w:t>考核激励机制</w:t>
      </w:r>
      <w:r>
        <w:rPr>
          <w:rFonts w:hint="eastAsia" w:ascii="Times New Roman" w:hAnsi="Times New Roman" w:eastAsia="方正仿宋简体" w:cs="仿宋_GB2312"/>
          <w:sz w:val="32"/>
          <w:szCs w:val="32"/>
        </w:rPr>
        <w:t>。立足服务兵团向南发展，深入开展更加广泛的暑期“三下乡”社会实践活动，赴各师开展专项调研，实现精准对接，继续</w:t>
      </w:r>
      <w:r>
        <w:rPr>
          <w:rFonts w:hint="eastAsia" w:ascii="Times New Roman" w:hAnsi="Times New Roman" w:eastAsia="方正仿宋简体"/>
          <w:sz w:val="32"/>
          <w:szCs w:val="32"/>
        </w:rPr>
        <w:t>重点支持赴南疆师团的社会实践项目，巩固和扩大社会实践基地建设。加强学生个人“返家乡”社会实践的考核评价。继续做好招生宣传和寻访校友等专项社会实践工作。继续实施志愿服务全员行动计划，与八师团委全面合作，建立区域内志愿服务“项目输出”和志愿者“精准对接”的志愿服务体系</w:t>
      </w:r>
      <w:r>
        <w:rPr>
          <w:rFonts w:hint="eastAsia" w:ascii="Times New Roman" w:hAnsi="Times New Roman" w:eastAsia="方正仿宋简体" w:cs="仿宋_GB2312"/>
          <w:sz w:val="32"/>
          <w:szCs w:val="32"/>
        </w:rPr>
        <w:t>。启动志愿服务项目培育计划，立足兵团特色和向南发展，重点培育一批有影响力的志愿服务项目。</w:t>
      </w:r>
      <w:r>
        <w:rPr>
          <w:rFonts w:hint="eastAsia" w:ascii="Times New Roman" w:hAnsi="Times New Roman" w:eastAsia="方正仿宋简体"/>
          <w:sz w:val="32"/>
          <w:szCs w:val="32"/>
        </w:rPr>
        <w:t>深入开展研究生支教团服务南疆活动。加强“西部计划”“三支一扶”志愿者的组织动员和选拔工作，引导学生到南疆兵团建功立业。</w:t>
      </w:r>
    </w:p>
    <w:p>
      <w:pPr>
        <w:widowControl/>
        <w:shd w:val="clear" w:color="auto" w:fill="FFFFFF"/>
        <w:spacing w:line="560" w:lineRule="exact"/>
        <w:ind w:right="-58" w:firstLine="643" w:firstLineChars="200"/>
        <w:jc w:val="left"/>
        <w:rPr>
          <w:rFonts w:ascii="Times New Roman" w:hAnsi="Times New Roman" w:eastAsia="方正仿宋简体"/>
          <w:sz w:val="32"/>
          <w:szCs w:val="32"/>
        </w:rPr>
      </w:pPr>
      <w:r>
        <w:rPr>
          <w:rFonts w:hint="eastAsia" w:ascii="Times New Roman" w:hAnsi="Times New Roman" w:eastAsia="方正仿宋简体" w:cs="仿宋_GB2312"/>
          <w:b/>
          <w:sz w:val="32"/>
          <w:szCs w:val="32"/>
        </w:rPr>
        <w:t>11.</w:t>
      </w:r>
      <w:r>
        <w:rPr>
          <w:rFonts w:hint="eastAsia" w:ascii="Times New Roman" w:hAnsi="Times New Roman" w:eastAsia="方正楷体简体"/>
          <w:b/>
          <w:sz w:val="32"/>
          <w:szCs w:val="32"/>
        </w:rPr>
        <w:t>提升校园文化活动内涵。</w:t>
      </w:r>
      <w:r>
        <w:rPr>
          <w:rFonts w:hint="eastAsia" w:ascii="Times New Roman" w:hAnsi="Times New Roman" w:eastAsia="方正仿宋简体"/>
          <w:sz w:val="32"/>
          <w:szCs w:val="32"/>
        </w:rPr>
        <w:t>以弘扬兵团精神，传播兵团文化为主线，以庆祝新中国成立70周年、纪念五四运动100周年、庆祝建校70周年等为契机，深入开展系列校园文化活动，注重内涵建设，重点扶持一批内涵深刻、内容丰富、意义深远的校园文化品牌项目，引导广大团员青年积极培育和践行社会主义核心价值观。以提升大学生身体素质为目标，实施“共青团促进大学生身体素质提升”计划。按照学校有关部署，做好校庆70周年系列校园文化活动。</w:t>
      </w:r>
    </w:p>
    <w:p>
      <w:pPr>
        <w:spacing w:line="560" w:lineRule="exact"/>
        <w:ind w:firstLine="643" w:firstLineChars="200"/>
        <w:rPr>
          <w:rFonts w:hint="eastAsia" w:ascii="Times New Roman" w:hAnsi="Times New Roman" w:eastAsia="方正仿宋简体"/>
          <w:sz w:val="32"/>
          <w:szCs w:val="32"/>
          <w:lang w:eastAsia="zh-CN"/>
        </w:rPr>
      </w:pPr>
      <w:r>
        <w:rPr>
          <w:rFonts w:hint="eastAsia" w:ascii="Times New Roman" w:hAnsi="Times New Roman" w:eastAsia="方正楷体简体"/>
          <w:b/>
          <w:sz w:val="32"/>
          <w:szCs w:val="32"/>
        </w:rPr>
        <w:t>12.维护学生发展权益。</w:t>
      </w:r>
      <w:r>
        <w:rPr>
          <w:rFonts w:hint="eastAsia" w:ascii="Times New Roman" w:hAnsi="Times New Roman" w:eastAsia="方正仿宋简体"/>
          <w:sz w:val="32"/>
          <w:szCs w:val="32"/>
        </w:rPr>
        <w:t>落实好团中央“千校万岗”大中专学生就业精准帮扶行动。持续开展好校院两级领导与学生代表见面会制度，推动建立校院两级机关“开放日”制度。完善校、院两级团委每月1次与学生代表见面会制度，广泛倾听青年学生心声。举办第二届权益金点子大赛，以项目立项和团队调研方式提升权益工作的深度和效度，提升大学生参与民主治校的意识和能力。继续做好每月1次的“权权知心”学生提案反馈栏目。继续做好新生开学家长免费住宿工作。</w:t>
      </w:r>
      <w:r>
        <w:rPr>
          <w:rFonts w:hint="eastAsia" w:ascii="Times New Roman" w:hAnsi="Times New Roman" w:eastAsia="方正仿宋简体"/>
          <w:sz w:val="32"/>
          <w:szCs w:val="32"/>
          <w:lang w:eastAsia="zh-CN"/>
        </w:rPr>
        <w:t>继续做好寒暑假、小长假免费接送师生的暖心活动。</w:t>
      </w:r>
    </w:p>
    <w:p>
      <w:pPr>
        <w:spacing w:line="560" w:lineRule="exact"/>
        <w:ind w:firstLine="640" w:firstLineChars="200"/>
        <w:rPr>
          <w:rFonts w:ascii="Times New Roman" w:hAnsi="Times New Roman" w:eastAsia="方正黑体简体" w:cs="宋体"/>
          <w:bCs/>
          <w:kern w:val="0"/>
          <w:sz w:val="32"/>
          <w:szCs w:val="32"/>
        </w:rPr>
      </w:pPr>
      <w:r>
        <w:rPr>
          <w:rFonts w:hint="eastAsia" w:ascii="Times New Roman" w:hAnsi="Times New Roman" w:eastAsia="方正黑体简体" w:cs="宋体"/>
          <w:bCs/>
          <w:kern w:val="0"/>
          <w:sz w:val="32"/>
          <w:szCs w:val="32"/>
        </w:rPr>
        <w:t>四、聚焦增强政治性、先进性、群众性，深化团学组织改革攻坚</w:t>
      </w:r>
    </w:p>
    <w:p>
      <w:pPr>
        <w:spacing w:line="560" w:lineRule="exact"/>
        <w:ind w:firstLine="643" w:firstLineChars="200"/>
        <w:rPr>
          <w:rFonts w:ascii="Times New Roman" w:hAnsi="Times New Roman" w:eastAsia="方正仿宋简体"/>
          <w:sz w:val="32"/>
          <w:szCs w:val="32"/>
        </w:rPr>
      </w:pPr>
      <w:r>
        <w:rPr>
          <w:rFonts w:hint="eastAsia" w:ascii="Times New Roman" w:hAnsi="Times New Roman" w:eastAsia="方正楷体简体"/>
          <w:b/>
          <w:sz w:val="32"/>
          <w:szCs w:val="32"/>
        </w:rPr>
        <w:t>13.抓实共青团改革。</w:t>
      </w:r>
      <w:r>
        <w:rPr>
          <w:rFonts w:hint="eastAsia" w:ascii="Times New Roman" w:hAnsi="Times New Roman" w:eastAsia="方正仿宋简体"/>
          <w:sz w:val="32"/>
          <w:szCs w:val="32"/>
        </w:rPr>
        <w:t>在前期改革探索基础上，正式出台《石河子大学共青团改革实施方案》，推动党建带团建机制、校团委运行机制、基层建设工作、青年组织体系、团干部选用培养等重点改革项目落地落实。</w:t>
      </w:r>
    </w:p>
    <w:p>
      <w:pPr>
        <w:spacing w:line="560" w:lineRule="exact"/>
        <w:ind w:firstLine="643" w:firstLineChars="200"/>
        <w:rPr>
          <w:rFonts w:ascii="Times New Roman" w:hAnsi="Times New Roman" w:eastAsia="方正仿宋简体"/>
          <w:sz w:val="32"/>
          <w:szCs w:val="32"/>
        </w:rPr>
      </w:pPr>
      <w:r>
        <w:rPr>
          <w:rFonts w:hint="eastAsia" w:ascii="Times New Roman" w:hAnsi="Times New Roman" w:eastAsia="方正仿宋简体"/>
          <w:b/>
          <w:sz w:val="32"/>
          <w:szCs w:val="32"/>
        </w:rPr>
        <w:t>14</w:t>
      </w:r>
      <w:r>
        <w:rPr>
          <w:rFonts w:hint="eastAsia" w:ascii="Times New Roman" w:hAnsi="Times New Roman" w:eastAsia="方正仿宋简体"/>
          <w:sz w:val="32"/>
          <w:szCs w:val="32"/>
        </w:rPr>
        <w:t>.</w:t>
      </w:r>
      <w:r>
        <w:rPr>
          <w:rFonts w:hint="eastAsia" w:ascii="Times New Roman" w:hAnsi="Times New Roman" w:eastAsia="方正楷体简体"/>
          <w:b/>
          <w:sz w:val="32"/>
          <w:szCs w:val="32"/>
        </w:rPr>
        <w:t>指导学生会改革。</w:t>
      </w:r>
      <w:r>
        <w:rPr>
          <w:rFonts w:hint="eastAsia" w:ascii="Times New Roman" w:hAnsi="Times New Roman" w:eastAsia="方正仿宋简体"/>
          <w:sz w:val="32"/>
          <w:szCs w:val="32"/>
        </w:rPr>
        <w:t>出台《石河子大学学生会组织改革实施方案》，以学生会组织始终旗帜鲜明地坚持党的领导和团的指导为方向，以发挥好学生会组织服务学生、表达愿望的功能为根本，进一步优化组织机构，控制人员规模，规范运行机制、加强骨干管理，树立要做学生友、不做学生官的鲜明导向。开好第七次学生代表大会。</w:t>
      </w:r>
    </w:p>
    <w:p>
      <w:pPr>
        <w:spacing w:line="560" w:lineRule="exact"/>
        <w:ind w:firstLine="643" w:firstLineChars="200"/>
        <w:rPr>
          <w:rFonts w:ascii="Times New Roman" w:hAnsi="Times New Roman" w:eastAsia="方正黑体简体" w:cs="宋体"/>
          <w:bCs/>
          <w:kern w:val="0"/>
          <w:sz w:val="32"/>
          <w:szCs w:val="32"/>
        </w:rPr>
      </w:pPr>
      <w:r>
        <w:rPr>
          <w:rFonts w:hint="eastAsia" w:ascii="Times New Roman" w:hAnsi="Times New Roman" w:eastAsia="方正仿宋简体"/>
          <w:b/>
          <w:sz w:val="32"/>
          <w:szCs w:val="32"/>
        </w:rPr>
        <w:t>15</w:t>
      </w:r>
      <w:r>
        <w:rPr>
          <w:rFonts w:hint="eastAsia" w:ascii="Times New Roman" w:hAnsi="Times New Roman" w:eastAsia="方正仿宋简体"/>
          <w:sz w:val="32"/>
          <w:szCs w:val="32"/>
        </w:rPr>
        <w:t>.</w:t>
      </w:r>
      <w:r>
        <w:rPr>
          <w:rFonts w:hint="eastAsia" w:ascii="Times New Roman" w:hAnsi="Times New Roman" w:eastAsia="方正楷体简体"/>
          <w:b/>
          <w:sz w:val="32"/>
          <w:szCs w:val="32"/>
        </w:rPr>
        <w:t>推进学生社团改革。</w:t>
      </w:r>
      <w:r>
        <w:rPr>
          <w:rFonts w:hint="eastAsia" w:ascii="Times New Roman" w:hAnsi="Times New Roman" w:eastAsia="方正仿宋简体"/>
          <w:sz w:val="32"/>
          <w:szCs w:val="32"/>
        </w:rPr>
        <w:t>坚持在党委的领导下推进学生社团改革，进一步完善学生社团章程和制度，规范学生社团运行机制，控制学生社团数量规模，把好学生社团注册年审，推动学院团委成立学生社团管理部，实现学生社团成立团支部全覆盖。加强学生社团骨干选拔培养，配齐配强指导教师，监督学生社团依法依规活动。</w:t>
      </w:r>
    </w:p>
    <w:p>
      <w:pPr>
        <w:spacing w:line="560" w:lineRule="exact"/>
        <w:ind w:firstLine="640" w:firstLineChars="200"/>
        <w:rPr>
          <w:rFonts w:ascii="Times New Roman" w:hAnsi="Times New Roman" w:eastAsia="方正黑体简体" w:cs="宋体"/>
          <w:bCs/>
          <w:kern w:val="0"/>
          <w:sz w:val="32"/>
          <w:szCs w:val="32"/>
        </w:rPr>
      </w:pPr>
      <w:r>
        <w:rPr>
          <w:rFonts w:hint="eastAsia" w:ascii="Times New Roman" w:hAnsi="Times New Roman" w:eastAsia="方正黑体简体" w:cs="宋体"/>
          <w:bCs/>
          <w:kern w:val="0"/>
          <w:sz w:val="32"/>
          <w:szCs w:val="32"/>
        </w:rPr>
        <w:t>五、狠抓基层建设，提升学校共青团的组织力</w:t>
      </w:r>
    </w:p>
    <w:p>
      <w:pPr>
        <w:widowControl/>
        <w:shd w:val="clear" w:color="auto" w:fill="FFFFFF"/>
        <w:spacing w:line="560" w:lineRule="exact"/>
        <w:ind w:right="-58" w:firstLine="643" w:firstLineChars="200"/>
        <w:jc w:val="left"/>
        <w:rPr>
          <w:rFonts w:ascii="Times New Roman" w:hAnsi="Times New Roman" w:eastAsia="方正仿宋简体" w:cs="仿宋_GB2312"/>
          <w:sz w:val="32"/>
          <w:szCs w:val="32"/>
        </w:rPr>
      </w:pPr>
      <w:r>
        <w:rPr>
          <w:rFonts w:hint="eastAsia" w:ascii="Times New Roman" w:hAnsi="Times New Roman" w:eastAsia="方正仿宋简体" w:cs="宋体"/>
          <w:b/>
          <w:bCs/>
          <w:kern w:val="0"/>
          <w:sz w:val="32"/>
          <w:szCs w:val="32"/>
        </w:rPr>
        <w:t>16.</w:t>
      </w:r>
      <w:r>
        <w:rPr>
          <w:rFonts w:hint="eastAsia" w:ascii="Times New Roman" w:hAnsi="Times New Roman" w:eastAsia="方正楷体简体"/>
          <w:b/>
          <w:sz w:val="32"/>
          <w:szCs w:val="32"/>
        </w:rPr>
        <w:t>深化从严治团。</w:t>
      </w:r>
      <w:r>
        <w:rPr>
          <w:rFonts w:hint="eastAsia" w:ascii="Times New Roman" w:hAnsi="Times New Roman" w:eastAsia="方正仿宋简体" w:cs="宋体"/>
          <w:bCs/>
          <w:kern w:val="0"/>
          <w:sz w:val="32"/>
          <w:szCs w:val="32"/>
        </w:rPr>
        <w:t>强化从严治团主体责任，落实</w:t>
      </w:r>
      <w:r>
        <w:rPr>
          <w:rFonts w:ascii="Times New Roman" w:hAnsi="Times New Roman" w:eastAsia="方正仿宋简体" w:cs="仿宋_GB2312"/>
          <w:sz w:val="32"/>
          <w:szCs w:val="32"/>
        </w:rPr>
        <w:t>校团委领导班子团内监督的主体责任，各</w:t>
      </w:r>
      <w:r>
        <w:rPr>
          <w:rFonts w:hint="eastAsia" w:ascii="Times New Roman" w:hAnsi="Times New Roman" w:eastAsia="方正仿宋简体" w:cs="仿宋_GB2312"/>
          <w:sz w:val="32"/>
          <w:szCs w:val="32"/>
        </w:rPr>
        <w:t>级</w:t>
      </w:r>
      <w:r>
        <w:rPr>
          <w:rFonts w:ascii="Times New Roman" w:hAnsi="Times New Roman" w:eastAsia="方正仿宋简体" w:cs="仿宋_GB2312"/>
          <w:sz w:val="32"/>
          <w:szCs w:val="32"/>
        </w:rPr>
        <w:t>团组织负责人</w:t>
      </w:r>
      <w:r>
        <w:rPr>
          <w:rFonts w:hint="eastAsia" w:ascii="Times New Roman" w:hAnsi="Times New Roman" w:eastAsia="方正仿宋简体" w:cs="仿宋_GB2312"/>
          <w:sz w:val="32"/>
          <w:szCs w:val="32"/>
        </w:rPr>
        <w:t>作为</w:t>
      </w:r>
      <w:r>
        <w:rPr>
          <w:rFonts w:ascii="Times New Roman" w:hAnsi="Times New Roman" w:eastAsia="方正仿宋简体" w:cs="仿宋_GB2312"/>
          <w:sz w:val="32"/>
          <w:szCs w:val="32"/>
        </w:rPr>
        <w:t>第一责任人，把从严治团的责任传导到位，对从严治团责任落实不力的团组织及其主要负责人，严肃问责。</w:t>
      </w:r>
      <w:r>
        <w:rPr>
          <w:rFonts w:hint="eastAsia" w:ascii="Times New Roman" w:hAnsi="Times New Roman" w:eastAsia="方正仿宋简体" w:cs="宋体"/>
          <w:bCs/>
          <w:kern w:val="0"/>
          <w:sz w:val="32"/>
          <w:szCs w:val="32"/>
        </w:rPr>
        <w:t>出台《关于新形势下推进从严治团的实施方案》，从严管好各级团组织、团干部队伍和团员队伍，提升团组织的组织力，转变团干部作风，增强团员先进性。进一步完善团委委员会、常委会组织制度和议事规则等各项规章制度。</w:t>
      </w:r>
      <w:r>
        <w:rPr>
          <w:rFonts w:ascii="Times New Roman" w:hAnsi="Times New Roman" w:eastAsia="方正仿宋简体" w:cs="仿宋_GB2312"/>
          <w:sz w:val="32"/>
          <w:szCs w:val="32"/>
        </w:rPr>
        <w:t>严格落实团内请示报告制度。</w:t>
      </w:r>
    </w:p>
    <w:p>
      <w:pPr>
        <w:widowControl/>
        <w:shd w:val="clear" w:color="auto" w:fill="FFFFFF"/>
        <w:spacing w:line="560" w:lineRule="exact"/>
        <w:ind w:right="-58" w:firstLine="643" w:firstLineChars="200"/>
        <w:jc w:val="left"/>
        <w:rPr>
          <w:rFonts w:ascii="Times New Roman" w:hAnsi="Times New Roman" w:eastAsia="方正仿宋简体" w:cs="仿宋_GB2312"/>
          <w:sz w:val="32"/>
          <w:szCs w:val="32"/>
        </w:rPr>
      </w:pPr>
      <w:r>
        <w:rPr>
          <w:rFonts w:hint="eastAsia" w:ascii="Times New Roman" w:hAnsi="Times New Roman" w:eastAsia="方正仿宋简体" w:cs="仿宋_GB2312"/>
          <w:b/>
          <w:sz w:val="32"/>
          <w:szCs w:val="32"/>
        </w:rPr>
        <w:t>17</w:t>
      </w:r>
      <w:r>
        <w:rPr>
          <w:rFonts w:hint="eastAsia" w:ascii="Times New Roman" w:hAnsi="Times New Roman" w:eastAsia="方正仿宋简体" w:cs="仿宋_GB2312"/>
          <w:sz w:val="32"/>
          <w:szCs w:val="32"/>
        </w:rPr>
        <w:t>.</w:t>
      </w:r>
      <w:r>
        <w:rPr>
          <w:rFonts w:hint="eastAsia" w:ascii="Times New Roman" w:hAnsi="Times New Roman" w:eastAsia="方正楷体简体"/>
          <w:b/>
          <w:sz w:val="32"/>
          <w:szCs w:val="32"/>
        </w:rPr>
        <w:t>狠抓基层建设。</w:t>
      </w:r>
      <w:r>
        <w:rPr>
          <w:rFonts w:hint="eastAsia" w:ascii="Times New Roman" w:hAnsi="Times New Roman" w:eastAsia="方正仿宋简体" w:cs="仿宋_GB2312"/>
          <w:sz w:val="32"/>
          <w:szCs w:val="32"/>
        </w:rPr>
        <w:t>按照团中央“全团大抓基层”有关要求，出台《关于狠抓新时代团的基层建设着力提升团的组织力的实施方案》《关于进一步推进从严治团 狠抓基层建设重点工作专项整顿的实施方案》，树立大抓基层的鲜明导向，推动学校各级团组织的组织力明显提升，不断增强团的政治性、先进性、群众性，确保学校各级团组织切实发挥政治功能、体现政治价值。严格落实“三会两制一课”制度，</w:t>
      </w:r>
      <w:r>
        <w:rPr>
          <w:rFonts w:hint="eastAsia" w:ascii="Times New Roman" w:hAnsi="Times New Roman" w:eastAsia="方正仿宋简体"/>
          <w:sz w:val="32"/>
          <w:szCs w:val="32"/>
        </w:rPr>
        <w:t>加强研究生团组织建设，实现组织覆盖和工作覆盖。</w:t>
      </w:r>
      <w:r>
        <w:rPr>
          <w:rFonts w:hint="eastAsia" w:ascii="Times New Roman" w:hAnsi="Times New Roman" w:eastAsia="方正仿宋简体" w:cs="仿宋_GB2312"/>
          <w:sz w:val="32"/>
          <w:szCs w:val="32"/>
        </w:rPr>
        <w:t>严把团员发展程序，规范主题团日活动，切实抓好团员“推优入党”工作。</w:t>
      </w:r>
      <w:r>
        <w:rPr>
          <w:rFonts w:hint="eastAsia" w:ascii="Times New Roman" w:hAnsi="Times New Roman" w:eastAsia="方正仿宋简体" w:cs="仿宋_GB2312"/>
          <w:sz w:val="32"/>
          <w:szCs w:val="32"/>
          <w:lang w:eastAsia="zh-CN"/>
        </w:rPr>
        <w:t>继续做好团员身份认定工作，完善“智慧团建”系统，做到“应录尽录”。重点加强团支部建设，</w:t>
      </w:r>
      <w:r>
        <w:rPr>
          <w:rFonts w:hint="eastAsia" w:ascii="Times New Roman" w:hAnsi="Times New Roman" w:eastAsia="方正仿宋简体" w:cs="仿宋_GB2312"/>
          <w:sz w:val="32"/>
          <w:szCs w:val="32"/>
        </w:rPr>
        <w:t>划拨专项经费扶持100个团支部工作和活动品牌项目。</w:t>
      </w:r>
    </w:p>
    <w:p>
      <w:pPr>
        <w:widowControl/>
        <w:shd w:val="clear" w:color="auto" w:fill="FFFFFF"/>
        <w:spacing w:line="560" w:lineRule="exact"/>
        <w:ind w:right="-57" w:firstLine="578"/>
        <w:jc w:val="left"/>
        <w:rPr>
          <w:rFonts w:ascii="Times New Roman" w:hAnsi="Times New Roman" w:eastAsia="方正仿宋简体" w:cs="宋体"/>
          <w:kern w:val="0"/>
          <w:sz w:val="32"/>
          <w:szCs w:val="32"/>
        </w:rPr>
      </w:pPr>
      <w:r>
        <w:rPr>
          <w:rFonts w:hint="eastAsia" w:ascii="Times New Roman" w:hAnsi="Times New Roman" w:eastAsia="方正仿宋简体" w:cs="宋体"/>
          <w:b/>
          <w:kern w:val="0"/>
          <w:sz w:val="32"/>
          <w:szCs w:val="32"/>
        </w:rPr>
        <w:t>1</w:t>
      </w:r>
      <w:r>
        <w:rPr>
          <w:rFonts w:hint="eastAsia" w:ascii="Times New Roman" w:hAnsi="Times New Roman" w:eastAsia="方正仿宋简体" w:cs="宋体"/>
          <w:b/>
          <w:kern w:val="0"/>
          <w:sz w:val="32"/>
          <w:szCs w:val="32"/>
          <w:lang w:val="en-US" w:eastAsia="zh-CN"/>
        </w:rPr>
        <w:t>8</w:t>
      </w:r>
      <w:r>
        <w:rPr>
          <w:rFonts w:hint="eastAsia" w:ascii="Times New Roman" w:hAnsi="Times New Roman" w:eastAsia="方正仿宋简体" w:cs="宋体"/>
          <w:b/>
          <w:kern w:val="0"/>
          <w:sz w:val="32"/>
          <w:szCs w:val="32"/>
        </w:rPr>
        <w:t>.</w:t>
      </w:r>
      <w:r>
        <w:rPr>
          <w:rFonts w:hint="eastAsia" w:ascii="方正楷体简体" w:hAnsi="Times New Roman" w:eastAsia="方正楷体简体"/>
          <w:b/>
          <w:sz w:val="32"/>
          <w:szCs w:val="32"/>
        </w:rPr>
        <w:t>做好共青团评优选先工作。</w:t>
      </w:r>
      <w:r>
        <w:rPr>
          <w:rFonts w:hint="eastAsia" w:ascii="Times New Roman" w:hAnsi="Times New Roman" w:eastAsia="方正仿宋简体"/>
          <w:sz w:val="32"/>
          <w:szCs w:val="32"/>
        </w:rPr>
        <w:t>完善团组织各类评优选先制度，做好“青年五四奖章”“五四红旗团委（团支部）”“感动石大杰出学子”等先进集体和个人评选，选好石大榜样，讲好石大故事。</w:t>
      </w:r>
      <w:r>
        <w:rPr>
          <w:rFonts w:hint="eastAsia" w:ascii="Times New Roman" w:hAnsi="Times New Roman" w:eastAsia="方正仿宋简体" w:cs="仿宋"/>
          <w:sz w:val="32"/>
          <w:szCs w:val="32"/>
        </w:rPr>
        <w:t>开展“奋斗的青春最美丽”巡回宣讲活动。</w:t>
      </w:r>
    </w:p>
    <w:p>
      <w:pPr>
        <w:spacing w:line="560" w:lineRule="exact"/>
        <w:ind w:firstLine="630" w:firstLineChars="196"/>
        <w:jc w:val="left"/>
        <w:rPr>
          <w:rFonts w:ascii="Times New Roman" w:hAnsi="Times New Roman" w:eastAsia="方正仿宋简体"/>
          <w:sz w:val="32"/>
          <w:szCs w:val="32"/>
        </w:rPr>
      </w:pPr>
      <w:r>
        <w:rPr>
          <w:rFonts w:hint="eastAsia" w:ascii="Times New Roman" w:hAnsi="Times New Roman" w:eastAsia="方正仿宋简体"/>
          <w:b/>
          <w:sz w:val="32"/>
          <w:szCs w:val="32"/>
          <w:lang w:val="en-US" w:eastAsia="zh-CN"/>
        </w:rPr>
        <w:t>19</w:t>
      </w:r>
      <w:r>
        <w:rPr>
          <w:rFonts w:hint="eastAsia" w:ascii="Times New Roman" w:hAnsi="Times New Roman" w:eastAsia="方正仿宋简体"/>
          <w:b/>
          <w:sz w:val="32"/>
          <w:szCs w:val="32"/>
        </w:rPr>
        <w:t>.</w:t>
      </w:r>
      <w:r>
        <w:rPr>
          <w:rFonts w:hint="eastAsia" w:ascii="方正楷体简体" w:hAnsi="Times New Roman" w:eastAsia="方正楷体简体"/>
          <w:b/>
          <w:sz w:val="32"/>
          <w:szCs w:val="32"/>
        </w:rPr>
        <w:t>推进附属单位共青团工作。</w:t>
      </w:r>
      <w:r>
        <w:rPr>
          <w:rFonts w:hint="eastAsia" w:ascii="Times New Roman" w:hAnsi="Times New Roman" w:eastAsia="方正仿宋简体"/>
          <w:sz w:val="32"/>
          <w:szCs w:val="32"/>
        </w:rPr>
        <w:t>进一步加强附属单位共青团工作，开展专项调研，着力破解附属单位共青团工作存在的难点问题。重点加强附属单位团组织基层建设。</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panose1 w:val="02010600030101010101"/>
    <w:charset w:val="86"/>
    <w:family w:val="auto"/>
    <w:pitch w:val="default"/>
    <w:sig w:usb0="A00002BF" w:usb1="38CF7CFA" w:usb2="00000016" w:usb3="00000000" w:csb0="0004000F" w:csb1="00000000"/>
  </w:font>
  <w:font w:name="方正大标宋简体">
    <w:panose1 w:val="02010601030101010101"/>
    <w:charset w:val="86"/>
    <w:family w:val="auto"/>
    <w:pitch w:val="default"/>
    <w:sig w:usb0="00000001" w:usb1="080E0000" w:usb2="00000000" w:usb3="00000000" w:csb0="00040000" w:csb1="00000000"/>
  </w:font>
  <w:font w:name="方正仿宋简体">
    <w:panose1 w:val="03000509000000000000"/>
    <w:charset w:val="86"/>
    <w:family w:val="script"/>
    <w:pitch w:val="default"/>
    <w:sig w:usb0="00000001" w:usb1="080E0000" w:usb2="0000000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方正黑体简体">
    <w:altName w:val="Arial Unicode MS"/>
    <w:panose1 w:val="03000509000000000000"/>
    <w:charset w:val="86"/>
    <w:family w:val="script"/>
    <w:pitch w:val="default"/>
    <w:sig w:usb0="00000000" w:usb1="00000000" w:usb2="00000010" w:usb3="00000000" w:csb0="00040000" w:csb1="00000000"/>
  </w:font>
  <w:font w:name="方正楷体简体">
    <w:altName w:val="宋体"/>
    <w:panose1 w:val="03000509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1</w:t>
    </w:r>
    <w: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6C25C1"/>
    <w:rsid w:val="0DDA43A2"/>
    <w:rsid w:val="0F7A2DED"/>
    <w:rsid w:val="1A534927"/>
    <w:rsid w:val="27C3705B"/>
    <w:rsid w:val="3C0E18A9"/>
    <w:rsid w:val="57E0786C"/>
    <w:rsid w:val="798B38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qFormat="1" w:unhideWhenUsed="0" w:uiPriority="99" w:semiHidden="0" w:name="endnote reference"/>
    <w:lsdException w:qFormat="1" w:unhideWhenUsed="0" w:uiPriority="99"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宋体"/>
      <w:kern w:val="2"/>
      <w:sz w:val="21"/>
      <w:szCs w:val="22"/>
      <w:lang w:val="en-US" w:eastAsia="zh-CN" w:bidi="ar-SA"/>
    </w:rPr>
  </w:style>
  <w:style w:type="character" w:default="1" w:styleId="9">
    <w:name w:val="Default Paragraph Font"/>
    <w:qFormat/>
    <w:uiPriority w:val="1"/>
  </w:style>
  <w:style w:type="table" w:default="1" w:styleId="8">
    <w:name w:val="Normal Table"/>
    <w:qFormat/>
    <w:uiPriority w:val="99"/>
    <w:tblPr>
      <w:tblLayout w:type="fixed"/>
      <w:tblCellMar>
        <w:top w:w="0" w:type="dxa"/>
        <w:left w:w="108" w:type="dxa"/>
        <w:bottom w:w="0" w:type="dxa"/>
        <w:right w:w="108" w:type="dxa"/>
      </w:tblCellMar>
    </w:tblPr>
  </w:style>
  <w:style w:type="paragraph" w:styleId="2">
    <w:name w:val="endnote text"/>
    <w:basedOn w:val="1"/>
    <w:link w:val="16"/>
    <w:qFormat/>
    <w:uiPriority w:val="99"/>
    <w:pPr>
      <w:snapToGrid w:val="0"/>
      <w:jc w:val="left"/>
    </w:pPr>
  </w:style>
  <w:style w:type="paragraph" w:styleId="3">
    <w:name w:val="Balloon Text"/>
    <w:basedOn w:val="1"/>
    <w:link w:val="15"/>
    <w:qFormat/>
    <w:uiPriority w:val="99"/>
    <w:rPr>
      <w:sz w:val="18"/>
      <w:szCs w:val="18"/>
    </w:rPr>
  </w:style>
  <w:style w:type="paragraph" w:styleId="4">
    <w:name w:val="footer"/>
    <w:basedOn w:val="1"/>
    <w:link w:val="14"/>
    <w:qFormat/>
    <w:uiPriority w:val="99"/>
    <w:pPr>
      <w:tabs>
        <w:tab w:val="center" w:pos="4153"/>
        <w:tab w:val="right" w:pos="8306"/>
      </w:tabs>
      <w:snapToGrid w:val="0"/>
      <w:jc w:val="left"/>
    </w:pPr>
    <w:rPr>
      <w:sz w:val="18"/>
      <w:szCs w:val="18"/>
    </w:rPr>
  </w:style>
  <w:style w:type="paragraph" w:styleId="5">
    <w:name w:val="header"/>
    <w:basedOn w:val="1"/>
    <w:link w:val="13"/>
    <w:qFormat/>
    <w:uiPriority w:val="99"/>
    <w:pPr>
      <w:pBdr>
        <w:bottom w:val="single" w:color="auto" w:sz="6" w:space="1"/>
      </w:pBdr>
      <w:tabs>
        <w:tab w:val="center" w:pos="4153"/>
        <w:tab w:val="right" w:pos="8306"/>
      </w:tabs>
      <w:snapToGrid w:val="0"/>
      <w:jc w:val="center"/>
    </w:pPr>
    <w:rPr>
      <w:sz w:val="18"/>
      <w:szCs w:val="18"/>
    </w:rPr>
  </w:style>
  <w:style w:type="paragraph" w:styleId="6">
    <w:name w:val="footnote text"/>
    <w:basedOn w:val="1"/>
    <w:link w:val="17"/>
    <w:qFormat/>
    <w:uiPriority w:val="0"/>
    <w:pPr>
      <w:snapToGrid w:val="0"/>
      <w:jc w:val="left"/>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styleId="10">
    <w:name w:val="Strong"/>
    <w:basedOn w:val="9"/>
    <w:qFormat/>
    <w:uiPriority w:val="22"/>
    <w:rPr>
      <w:b/>
      <w:bCs/>
    </w:rPr>
  </w:style>
  <w:style w:type="character" w:styleId="11">
    <w:name w:val="endnote reference"/>
    <w:basedOn w:val="9"/>
    <w:qFormat/>
    <w:uiPriority w:val="99"/>
    <w:rPr>
      <w:vertAlign w:val="superscript"/>
    </w:rPr>
  </w:style>
  <w:style w:type="character" w:styleId="12">
    <w:name w:val="footnote reference"/>
    <w:basedOn w:val="9"/>
    <w:qFormat/>
    <w:uiPriority w:val="0"/>
    <w:rPr>
      <w:vertAlign w:val="superscript"/>
    </w:rPr>
  </w:style>
  <w:style w:type="character" w:customStyle="1" w:styleId="13">
    <w:name w:val="页眉 Char"/>
    <w:basedOn w:val="9"/>
    <w:link w:val="5"/>
    <w:qFormat/>
    <w:uiPriority w:val="99"/>
    <w:rPr>
      <w:sz w:val="18"/>
      <w:szCs w:val="18"/>
    </w:rPr>
  </w:style>
  <w:style w:type="character" w:customStyle="1" w:styleId="14">
    <w:name w:val="页脚 Char"/>
    <w:basedOn w:val="9"/>
    <w:link w:val="4"/>
    <w:qFormat/>
    <w:uiPriority w:val="99"/>
    <w:rPr>
      <w:sz w:val="18"/>
      <w:szCs w:val="18"/>
    </w:rPr>
  </w:style>
  <w:style w:type="character" w:customStyle="1" w:styleId="15">
    <w:name w:val="批注框文本 Char"/>
    <w:basedOn w:val="9"/>
    <w:link w:val="3"/>
    <w:qFormat/>
    <w:uiPriority w:val="99"/>
    <w:rPr>
      <w:kern w:val="2"/>
      <w:sz w:val="18"/>
      <w:szCs w:val="18"/>
    </w:rPr>
  </w:style>
  <w:style w:type="character" w:customStyle="1" w:styleId="16">
    <w:name w:val="尾注文本 Char"/>
    <w:basedOn w:val="9"/>
    <w:link w:val="2"/>
    <w:qFormat/>
    <w:uiPriority w:val="99"/>
    <w:rPr>
      <w:kern w:val="2"/>
      <w:sz w:val="21"/>
      <w:szCs w:val="22"/>
    </w:rPr>
  </w:style>
  <w:style w:type="character" w:customStyle="1" w:styleId="17">
    <w:name w:val="脚注文本 Char1"/>
    <w:basedOn w:val="9"/>
    <w:link w:val="6"/>
    <w:qFormat/>
    <w:uiPriority w:val="0"/>
    <w:rPr>
      <w:kern w:val="2"/>
      <w:sz w:val="18"/>
      <w:szCs w:val="18"/>
    </w:rPr>
  </w:style>
  <w:style w:type="character" w:customStyle="1" w:styleId="18">
    <w:name w:val="脚注文本 Char"/>
    <w:qFormat/>
    <w:uiPriority w:val="0"/>
    <w:rPr>
      <w:kern w:val="2"/>
      <w:sz w:val="18"/>
      <w:szCs w:val="18"/>
    </w:rPr>
  </w:style>
  <w:style w:type="paragraph" w:styleId="1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8C0C400-5FA9-4334-AE72-43CF1FC88BFE}">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4435</Words>
  <Characters>4517</Characters>
  <Paragraphs>43</Paragraphs>
  <TotalTime>3</TotalTime>
  <ScaleCrop>false</ScaleCrop>
  <LinksUpToDate>false</LinksUpToDate>
  <CharactersWithSpaces>4678</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2019-01-22T02:02:00Z</dcterms:created>
  <dc:creator>马警官的小公主</dc:creator>
  <cp:lastModifiedBy>Administrator</cp:lastModifiedBy>
  <cp:lastPrinted>2019-03-26T07:59:00Z</cp:lastPrinted>
  <dcterms:modified xsi:type="dcterms:W3CDTF">2019-03-27T02:00:54Z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