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方正大标宋简体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方正大标宋简体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方正大标宋简体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方正大标宋简体" w:cs="宋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方正大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大标宋简体" w:cs="宋体"/>
          <w:kern w:val="0"/>
          <w:sz w:val="44"/>
          <w:szCs w:val="44"/>
        </w:rPr>
        <w:t>关于进一步加强学生社团管理的通知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Times New Roman" w:hAnsi="Times New Roman" w:eastAsia="方正仿宋简体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b/>
          <w:kern w:val="0"/>
          <w:sz w:val="32"/>
          <w:szCs w:val="32"/>
        </w:rPr>
        <w:t>各学院团委、附属单位团委，各挂靠单位：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根据上级有关文件精神，结合学校实际，在过去学生社团管理规定的基础上，现就进一步加强学生社团管理，规范学生社团活动要求如下。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楷体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宋体"/>
          <w:kern w:val="0"/>
          <w:sz w:val="32"/>
          <w:szCs w:val="32"/>
        </w:rPr>
        <w:t>一、加强学生社团自身建设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1.坚持统一管理、分级指导。我校学生社团实行统一管理、分级指导的原则。所有在册学生社团必须接受校团委、校社联统一管理，由各挂靠单位负责对学生社团的领导、管理、支持和服务。各挂靠单位要严格加强学生社团管理，严把学生社团正确的政治方向，推动学生社团健康有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2.强化学生社团制度建设。各挂靠单位要指导学生社团建立完善的章程和各项管理制度，并严格抓好落实，确保学生社团各项工作和活动有章程可循、有制度保障。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3.加强学生社团骨干队伍建设。各挂靠单位要加强对学生社团骨干的管理、考核和培养。要建立完善的学生社团骨干培养方案，将学生社团骨干纳入校院两级“青马工程”培养体系中，着重培养一批信念坚定、素质过硬、可靠可信的学生社团骨干。要建立完善的学生社团骨干评价考核机制，定期对学生社团骨干的思想政治素质、工作能力业绩、综合素质表现等进行考核，完善学生社团骨干选拔和退出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4.配齐配强学生社团指导教师。各挂靠单位要按照《石河子大学学生社团指导教师管理办法（试行）》有关规定，配齐配强学生社团指导教师，加强对学生社团指导教师的管理、考核和激励，切实加强学生社团指导教师对学生社团工作全方位、全过程参与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楷体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宋体"/>
          <w:kern w:val="0"/>
          <w:sz w:val="32"/>
          <w:szCs w:val="32"/>
        </w:rPr>
        <w:t>二、加强学生社团活动管理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1.建立学生社团活动报批制度。所有学生社团活动由“报备制”改为“报批制”，即日起各类学生社团活动要提前20天提交《石河子大学学生社团（社联）活动审批表》（附件1），按照学生社团提出申请，指导教师、挂靠单位、学院党委、校团委逐级审批的流程进行审批，同意后方可举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2.加强学生社团活动管理。各挂靠单位必须严格规范学生社团活动的形式、内容和规模，确保学生社团活动内容健康向上，杜绝大规模、讲排场、走形式的活动。要加强学生社团过程管理，所有学生社团活动，必须有指导教师或挂靠单位教师全程参与。严禁学生社团以任何形式组织集体外出活动，或协助其他社会组织、企业公司等组织开展旅游、产品销售、宣传推广等任何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3.不得擅自接受校外任何企业或社会组织的资助。各学生社团不得擅自与校外企业或社会组织等联系，不得擅自接受校外资助，确因工作需要，须经挂靠单位党委同意并报校团委审批后方可接受。各挂靠单位要积极争取党委支持，加大对学生社团的经费支持力度，为学生社团发展提供经费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4.密切关注学生社团动态。各挂靠单位要密切关注学生社团工作和活动动态，全面掌握了解学生社团各项工作和活动，坚决防止学生社团未经审批私自开展活动。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楷体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宋体"/>
          <w:kern w:val="0"/>
          <w:sz w:val="32"/>
          <w:szCs w:val="32"/>
        </w:rPr>
        <w:t>三、加强学生社团阵地管理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1.加强学生社团各类网络和新媒体平台管理。严禁学生社团开通微信公众号、微博等，已经开通的要予以注销，学生社团的各类信息统一在各挂靠单位官方平台发布。确因工作需要建立QQ群的，群内必须有指导教师或挂靠单位教师参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2.加强学生社团活动场所管理。对</w:t>
      </w:r>
      <w:bookmarkStart w:id="0" w:name="_GoBack"/>
      <w:bookmarkEnd w:id="0"/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于有固定学生社团活动场所的单位，要加强活动场所安全防护和日常管理，对于临时开展活动的场所，要加强活动期间的场所管理，制定安全预案，确保活动场所安全，大型活动须按学校规定，向学校相关部门报批，并申请配备安保设施和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加强学生社团刊物和宣传材料管理。对于有固定刊物或简报的学生社团，要严格审核刊物内容，刊发前须经单位有关领导审核把关。学生社团由于纳新、换届等需要发放的宣传材料，各挂靠单位要严格审核材料内容。严禁学生社团私自印发刊物、简报和宣传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楷体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楷体简体" w:cs="宋体"/>
          <w:kern w:val="0"/>
          <w:sz w:val="32"/>
          <w:szCs w:val="32"/>
        </w:rPr>
        <w:t>四、规范学生社团台账和档案管理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各学生社团要规范工作档案和台账管理，所有工作和活动均需有详细的档案和台账记录，并填写《石河子大学学生社团（社联）活动记录台账》（附件2），每两周报校学生社团联合会进行统一登记，学生社团台账的上交情况，计入社团考核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石河子大学团委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kern w:val="0"/>
          <w:sz w:val="32"/>
          <w:szCs w:val="32"/>
        </w:rPr>
        <w:t>2018年9月12日</w:t>
      </w:r>
    </w:p>
    <w:p>
      <w:pPr>
        <w:spacing w:after="156" w:afterLines="50" w:line="400" w:lineRule="exact"/>
        <w:jc w:val="left"/>
        <w:rPr>
          <w:rStyle w:val="9"/>
          <w:rFonts w:hint="default" w:ascii="Times New Roman" w:hAnsi="Times New Roman" w:eastAsia="仿宋_GB2312" w:cs="仿宋_GB2312"/>
          <w:sz w:val="28"/>
          <w:szCs w:val="28"/>
          <w:lang w:bidi="ar"/>
        </w:rPr>
      </w:pPr>
    </w:p>
    <w:p>
      <w:pPr>
        <w:spacing w:after="156" w:afterLines="50" w:line="400" w:lineRule="exact"/>
        <w:jc w:val="left"/>
        <w:rPr>
          <w:rStyle w:val="9"/>
          <w:rFonts w:hint="default" w:ascii="Times New Roman" w:hAnsi="Times New Roman" w:eastAsia="仿宋_GB2312" w:cs="仿宋_GB2312"/>
          <w:lang w:bidi="ar"/>
        </w:rPr>
      </w:pPr>
      <w:r>
        <w:rPr>
          <w:rStyle w:val="9"/>
          <w:rFonts w:hint="default" w:ascii="Times New Roman" w:hAnsi="Times New Roman" w:eastAsia="仿宋_GB2312" w:cs="仿宋_GB2312"/>
          <w:sz w:val="28"/>
          <w:szCs w:val="28"/>
          <w:lang w:bidi="ar"/>
        </w:rPr>
        <w:t>附件1</w:t>
      </w:r>
    </w:p>
    <w:p>
      <w:pPr>
        <w:spacing w:after="312" w:afterLines="100" w:line="500" w:lineRule="exact"/>
        <w:jc w:val="center"/>
        <w:rPr>
          <w:rStyle w:val="9"/>
          <w:rFonts w:hint="default" w:ascii="Times New Roman" w:hAnsi="Times New Roman" w:eastAsia="宋体" w:cs="微软雅黑 Light"/>
          <w:sz w:val="36"/>
          <w:szCs w:val="36"/>
          <w:lang w:bidi="ar"/>
        </w:rPr>
      </w:pPr>
      <w:r>
        <w:rPr>
          <w:rStyle w:val="9"/>
          <w:rFonts w:hint="default" w:ascii="Times New Roman" w:hAnsi="Times New Roman" w:eastAsia="宋体" w:cs="微软雅黑 Light"/>
          <w:sz w:val="36"/>
          <w:szCs w:val="36"/>
          <w:lang w:bidi="ar"/>
        </w:rPr>
        <w:t>石河子大学学生社团（社联）活动</w:t>
      </w:r>
      <w:r>
        <w:rPr>
          <w:rStyle w:val="9"/>
          <w:rFonts w:hint="eastAsia" w:ascii="Times New Roman" w:hAnsi="Times New Roman" w:eastAsia="宋体" w:cs="微软雅黑 Light"/>
          <w:sz w:val="36"/>
          <w:szCs w:val="36"/>
          <w:lang w:eastAsia="zh-CN" w:bidi="ar"/>
        </w:rPr>
        <w:t>审批</w:t>
      </w:r>
      <w:r>
        <w:rPr>
          <w:rStyle w:val="9"/>
          <w:rFonts w:hint="default" w:ascii="Times New Roman" w:hAnsi="Times New Roman" w:eastAsia="宋体" w:cs="微软雅黑 Light"/>
          <w:sz w:val="36"/>
          <w:szCs w:val="36"/>
          <w:lang w:bidi="ar"/>
        </w:rPr>
        <w:t>表</w:t>
      </w:r>
    </w:p>
    <w:tbl>
      <w:tblPr>
        <w:tblStyle w:val="5"/>
        <w:tblW w:w="92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435"/>
        <w:gridCol w:w="2622"/>
        <w:gridCol w:w="497"/>
        <w:gridCol w:w="185"/>
        <w:gridCol w:w="1429"/>
        <w:gridCol w:w="87"/>
        <w:gridCol w:w="22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动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息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活动名称</w:t>
            </w:r>
          </w:p>
        </w:tc>
        <w:tc>
          <w:tcPr>
            <w:tcW w:w="70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活动地点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活动类别</w:t>
            </w:r>
          </w:p>
        </w:tc>
        <w:tc>
          <w:tcPr>
            <w:tcW w:w="708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学习交流类□   文艺晚会类□   竞技比赛类□  </w:t>
            </w:r>
          </w:p>
          <w:p>
            <w:pPr>
              <w:widowControl/>
              <w:adjustRightInd w:val="0"/>
              <w:snapToGrid w:val="0"/>
              <w:ind w:firstLine="140" w:firstLineChars="50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志愿公益</w:t>
            </w: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    其他□ (              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活动内容</w:t>
            </w:r>
          </w:p>
        </w:tc>
        <w:tc>
          <w:tcPr>
            <w:tcW w:w="70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sz w:val="24"/>
                <w:szCs w:val="24"/>
              </w:rPr>
              <w:t>(至少200字,包含活动目的、活动开展方式、活动流程等。填写时可删去红色字行。)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织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息</w:t>
            </w:r>
          </w:p>
        </w:tc>
        <w:tc>
          <w:tcPr>
            <w:tcW w:w="14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主办单位</w:t>
            </w:r>
          </w:p>
        </w:tc>
        <w:tc>
          <w:tcPr>
            <w:tcW w:w="3304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235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协办单位</w:t>
            </w:r>
          </w:p>
        </w:tc>
        <w:tc>
          <w:tcPr>
            <w:tcW w:w="33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申报时间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活动负责人</w:t>
            </w:r>
          </w:p>
        </w:tc>
        <w:tc>
          <w:tcPr>
            <w:tcW w:w="33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指导老师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老师签名：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年  月  日 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挂靠单位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负责人签名：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（盖章）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院领导意见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负责人签名：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（盖章）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年  月  日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校团委意见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负责人签名：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（盖章）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年  月  日</w:t>
            </w:r>
          </w:p>
        </w:tc>
      </w:tr>
    </w:tbl>
    <w:p>
      <w:pPr>
        <w:adjustRightInd w:val="0"/>
        <w:snapToGrid w:val="0"/>
        <w:spacing w:before="93" w:beforeLines="30"/>
        <w:ind w:left="-420" w:leftChars="-200" w:right="-420" w:rightChars="-200" w:firstLine="480" w:firstLineChars="200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注：学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生社团</w:t>
      </w:r>
      <w:r>
        <w:rPr>
          <w:rFonts w:hint="eastAsia" w:ascii="Times New Roman" w:hAnsi="Times New Roman" w:eastAsia="仿宋_GB2312" w:cs="仿宋_GB2312"/>
          <w:sz w:val="24"/>
          <w:szCs w:val="24"/>
        </w:rPr>
        <w:t>需在活动正式举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行前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20天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将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此表交至石河子大学学生社团联合会办公室。（地址：大学生活动中心一楼104室）</w:t>
      </w:r>
    </w:p>
    <w:p>
      <w:pPr>
        <w:adjustRightInd w:val="0"/>
        <w:snapToGrid w:val="0"/>
        <w:spacing w:before="93" w:beforeLines="30"/>
        <w:ind w:left="-315" w:leftChars="-150" w:right="-315" w:rightChars="-150" w:firstLine="480" w:firstLineChars="200"/>
        <w:jc w:val="center"/>
        <w:rPr>
          <w:rStyle w:val="9"/>
          <w:rFonts w:hint="default" w:ascii="Times New Roman" w:hAnsi="Times New Roman" w:eastAsia="仿宋_GB2312" w:cs="仿宋_GB2312"/>
          <w:sz w:val="28"/>
          <w:szCs w:val="28"/>
          <w:lang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                                       石河子大学学生社团联合会制</w:t>
      </w:r>
      <w:r>
        <w:rPr>
          <w:rFonts w:ascii="Times New Roman" w:hAnsi="Times New Roman" w:eastAsia="仿宋_GB2312" w:cs="仿宋_GB2312"/>
          <w:sz w:val="24"/>
          <w:szCs w:val="24"/>
        </w:rPr>
        <w:br w:type="page"/>
      </w:r>
    </w:p>
    <w:p>
      <w:pPr>
        <w:spacing w:after="120" w:afterLines="50" w:line="400" w:lineRule="exact"/>
        <w:jc w:val="left"/>
        <w:rPr>
          <w:rStyle w:val="9"/>
          <w:rFonts w:hint="default" w:ascii="Times New Roman" w:hAnsi="Times New Roman" w:eastAsia="仿宋_GB2312" w:cs="仿宋_GB2312"/>
          <w:lang w:bidi="ar"/>
        </w:rPr>
      </w:pPr>
      <w:r>
        <w:rPr>
          <w:rStyle w:val="9"/>
          <w:rFonts w:hint="default" w:ascii="Times New Roman" w:hAnsi="Times New Roman" w:eastAsia="仿宋_GB2312" w:cs="仿宋_GB2312"/>
          <w:sz w:val="28"/>
          <w:szCs w:val="28"/>
          <w:lang w:bidi="ar"/>
        </w:rPr>
        <w:t>附件2</w:t>
      </w:r>
    </w:p>
    <w:p>
      <w:pPr>
        <w:adjustRightInd w:val="0"/>
        <w:snapToGrid w:val="0"/>
        <w:spacing w:before="72" w:beforeLines="30"/>
        <w:ind w:left="-315" w:leftChars="-150" w:right="-315" w:rightChars="-150" w:firstLine="723" w:firstLineChars="200"/>
        <w:jc w:val="center"/>
        <w:rPr>
          <w:rStyle w:val="9"/>
          <w:rFonts w:hint="default" w:ascii="Times New Roman" w:hAnsi="Times New Roman" w:eastAsia="宋体" w:cs="微软雅黑 Light"/>
          <w:sz w:val="36"/>
          <w:szCs w:val="36"/>
          <w:lang w:bidi="ar"/>
        </w:rPr>
      </w:pPr>
      <w:r>
        <w:rPr>
          <w:rStyle w:val="9"/>
          <w:rFonts w:hint="default" w:ascii="Times New Roman" w:hAnsi="Times New Roman" w:eastAsia="宋体" w:cs="微软雅黑 Light"/>
          <w:sz w:val="36"/>
          <w:szCs w:val="36"/>
          <w:lang w:bidi="ar"/>
        </w:rPr>
        <w:t>石河子大学学生社团（社联）活动记录台账</w:t>
      </w:r>
    </w:p>
    <w:tbl>
      <w:tblPr>
        <w:tblStyle w:val="6"/>
        <w:tblW w:w="11916" w:type="dxa"/>
        <w:jc w:val="center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活动名称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活动形式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活动时间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活动地点</w:t>
            </w:r>
          </w:p>
        </w:tc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活动对象</w:t>
            </w:r>
          </w:p>
        </w:tc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参与人数</w:t>
            </w:r>
          </w:p>
        </w:tc>
        <w:tc>
          <w:tcPr>
            <w:tcW w:w="1318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持续时间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活动负责人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 w:firstLine="240" w:firstLineChars="100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7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72" w:beforeLines="30"/>
              <w:ind w:right="-315" w:rightChars="-15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72" w:beforeLines="30"/>
        <w:ind w:left="-315" w:leftChars="-150" w:right="-315" w:rightChars="-150" w:firstLine="480" w:firstLineChars="200"/>
        <w:jc w:val="center"/>
        <w:rPr>
          <w:rFonts w:ascii="Times New Roman" w:hAnsi="Times New Roman" w:eastAsia="仿宋_GB2312" w:cs="仿宋_GB2312"/>
          <w:sz w:val="24"/>
          <w:szCs w:val="24"/>
        </w:rPr>
      </w:pPr>
    </w:p>
    <w:sectPr>
      <w:pgSz w:w="15840" w:h="12240" w:orient="landscape"/>
      <w:pgMar w:top="1800" w:right="1440" w:bottom="1800" w:left="1440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7"/>
    <w:rsid w:val="00192841"/>
    <w:rsid w:val="001C3A5C"/>
    <w:rsid w:val="00240703"/>
    <w:rsid w:val="002514A2"/>
    <w:rsid w:val="002D1FD0"/>
    <w:rsid w:val="003761D3"/>
    <w:rsid w:val="00395527"/>
    <w:rsid w:val="003C3806"/>
    <w:rsid w:val="0044558C"/>
    <w:rsid w:val="004E4196"/>
    <w:rsid w:val="00593F74"/>
    <w:rsid w:val="005C20C7"/>
    <w:rsid w:val="005D35E5"/>
    <w:rsid w:val="0070544E"/>
    <w:rsid w:val="007202A4"/>
    <w:rsid w:val="0091477D"/>
    <w:rsid w:val="0095111B"/>
    <w:rsid w:val="00A02DD4"/>
    <w:rsid w:val="00A74014"/>
    <w:rsid w:val="00AE2DC7"/>
    <w:rsid w:val="00AE6A9B"/>
    <w:rsid w:val="00B60EBD"/>
    <w:rsid w:val="00B64114"/>
    <w:rsid w:val="00B775B4"/>
    <w:rsid w:val="00C65B79"/>
    <w:rsid w:val="00CB5DC0"/>
    <w:rsid w:val="00CD3AA5"/>
    <w:rsid w:val="00D1722C"/>
    <w:rsid w:val="00DF4A05"/>
    <w:rsid w:val="00EB39E7"/>
    <w:rsid w:val="00EB4B1A"/>
    <w:rsid w:val="00F0644F"/>
    <w:rsid w:val="18563EB6"/>
    <w:rsid w:val="2FD8365C"/>
    <w:rsid w:val="45C82F52"/>
    <w:rsid w:val="474E1169"/>
    <w:rsid w:val="64A05140"/>
    <w:rsid w:val="68F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font31"/>
    <w:qFormat/>
    <w:uiPriority w:val="0"/>
    <w:rPr>
      <w:rFonts w:hint="eastAsia" w:ascii="楷体" w:hAnsi="楷体" w:eastAsia="楷体" w:cs="楷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5</Pages>
  <Words>363</Words>
  <Characters>2074</Characters>
  <Lines>17</Lines>
  <Paragraphs>4</Paragraphs>
  <TotalTime>670</TotalTime>
  <ScaleCrop>false</ScaleCrop>
  <LinksUpToDate>false</LinksUpToDate>
  <CharactersWithSpaces>2433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2018-09-10T17:24:00Z</dcterms:created>
  <dc:creator>acer</dc:creator>
  <cp:lastModifiedBy>旋子1410225877</cp:lastModifiedBy>
  <cp:lastPrinted>2018-09-12T08:00:20Z</cp:lastPrinted>
  <dcterms:modified xsi:type="dcterms:W3CDTF">2018-09-12T11:25:10Z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